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B4B33">
      <w:pPr>
        <w:pStyle w:val="2"/>
        <w:spacing w:before="0" w:after="156" w:afterLines="50" w:line="560" w:lineRule="exact"/>
        <w:rPr>
          <w:rFonts w:ascii="Times New Roman" w:hAnsi="Times New Roman" w:eastAsia="宋体"/>
          <w:color w:val="auto"/>
          <w:sz w:val="36"/>
          <w:szCs w:val="36"/>
        </w:rPr>
      </w:pPr>
      <w:r>
        <w:rPr>
          <w:rFonts w:hint="default" w:ascii="Times New Roman" w:hAnsi="Times New Roman" w:eastAsia="宋体"/>
          <w:color w:val="auto"/>
          <w:sz w:val="36"/>
          <w:szCs w:val="36"/>
        </w:rPr>
        <w:t>中国高校产学研创新基金</w:t>
      </w:r>
      <w:r>
        <w:rPr>
          <w:rFonts w:hint="default" w:ascii="Times New Roman" w:hAnsi="Times New Roman" w:eastAsia="宋体"/>
          <w:color w:val="auto"/>
          <w:sz w:val="36"/>
          <w:szCs w:val="36"/>
          <w:lang w:eastAsia="zh-CN"/>
        </w:rPr>
        <w:t>－</w:t>
      </w:r>
      <w:r>
        <w:rPr>
          <w:rFonts w:ascii="Times New Roman" w:hAnsi="Times New Roman" w:eastAsia="宋体"/>
          <w:color w:val="auto"/>
          <w:sz w:val="36"/>
          <w:szCs w:val="36"/>
        </w:rPr>
        <w:t>九强临床检验专项</w:t>
      </w:r>
    </w:p>
    <w:p w14:paraId="1370C16A">
      <w:pPr>
        <w:pStyle w:val="2"/>
        <w:spacing w:before="0" w:after="156" w:afterLines="50" w:line="560" w:lineRule="exact"/>
        <w:rPr>
          <w:rFonts w:ascii="Times New Roman" w:hAnsi="Times New Roman" w:eastAsia="宋体"/>
          <w:color w:val="auto"/>
          <w:sz w:val="36"/>
          <w:szCs w:val="36"/>
        </w:rPr>
      </w:pPr>
      <w:r>
        <w:rPr>
          <w:rFonts w:hint="default" w:ascii="Times New Roman" w:hAnsi="Times New Roman" w:eastAsia="宋体"/>
          <w:color w:val="auto"/>
          <w:sz w:val="36"/>
          <w:szCs w:val="36"/>
        </w:rPr>
        <w:t>申请指南说明</w:t>
      </w:r>
    </w:p>
    <w:p w14:paraId="67B8C9D6">
      <w:pPr>
        <w:pStyle w:val="2"/>
        <w:spacing w:before="0" w:after="156" w:afterLines="50" w:line="420" w:lineRule="exact"/>
        <w:rPr>
          <w:rFonts w:ascii="Times New Roman" w:hAnsi="Times New Roman" w:eastAsia="宋体"/>
          <w:color w:val="auto"/>
          <w:szCs w:val="32"/>
        </w:rPr>
      </w:pPr>
    </w:p>
    <w:p w14:paraId="3723F7C6">
      <w:pPr>
        <w:spacing w:before="0" w:after="0" w:line="360" w:lineRule="auto"/>
        <w:ind w:firstLine="480"/>
        <w:rPr>
          <w:rFonts w:ascii="Times New Roman" w:hAnsi="Times New Roman"/>
          <w:color w:val="auto"/>
          <w:sz w:val="28"/>
          <w:szCs w:val="28"/>
        </w:rPr>
      </w:pPr>
      <w:r>
        <w:rPr>
          <w:rFonts w:hint="default" w:ascii="Times New Roman" w:hAnsi="Times New Roman"/>
          <w:sz w:val="28"/>
          <w:szCs w:val="28"/>
        </w:rPr>
        <w:t>根据</w:t>
      </w:r>
      <w:r>
        <w:rPr>
          <w:rFonts w:hint="default" w:ascii="Times New Roman" w:hAnsi="Times New Roman"/>
          <w:color w:val="auto"/>
          <w:sz w:val="28"/>
          <w:szCs w:val="28"/>
        </w:rPr>
        <w:t>《关于申报2025年中国高校产学研创新基金的通知》</w:t>
      </w:r>
      <w:r>
        <w:rPr>
          <w:rFonts w:hint="default" w:ascii="Times New Roman" w:hAnsi="Times New Roman"/>
          <w:color w:val="auto"/>
          <w:sz w:val="28"/>
          <w:szCs w:val="28"/>
          <w:lang w:eastAsia="zh-CN"/>
        </w:rPr>
        <w:t>（</w:t>
      </w:r>
      <w:r>
        <w:rPr>
          <w:rFonts w:hint="default" w:ascii="Times New Roman" w:hAnsi="Times New Roman"/>
          <w:color w:val="auto"/>
          <w:sz w:val="28"/>
          <w:szCs w:val="28"/>
        </w:rPr>
        <w:t>教科发中心函〔2025〕3号</w:t>
      </w:r>
      <w:r>
        <w:rPr>
          <w:rFonts w:hint="default" w:ascii="Times New Roman" w:hAnsi="Times New Roman"/>
          <w:color w:val="auto"/>
          <w:sz w:val="28"/>
          <w:szCs w:val="28"/>
          <w:lang w:eastAsia="zh-CN"/>
        </w:rPr>
        <w:t>）</w:t>
      </w:r>
      <w:r>
        <w:rPr>
          <w:rFonts w:hint="default" w:ascii="Times New Roman" w:hAnsi="Times New Roman"/>
          <w:sz w:val="28"/>
          <w:szCs w:val="28"/>
        </w:rPr>
        <w:t>的相关要求，教育部高等学校科学研究发展中心与北京九强生物技术股份有限公司设立</w:t>
      </w:r>
      <w:r>
        <w:rPr>
          <w:rFonts w:hint="default" w:ascii="Times New Roman" w:hAnsi="Times New Roman"/>
          <w:color w:val="auto"/>
          <w:sz w:val="28"/>
          <w:szCs w:val="28"/>
        </w:rPr>
        <w:t>“中国</w:t>
      </w:r>
      <w:r>
        <w:rPr>
          <w:rFonts w:ascii="Times New Roman" w:hAnsi="Times New Roman"/>
          <w:color w:val="auto"/>
          <w:sz w:val="28"/>
          <w:szCs w:val="28"/>
        </w:rPr>
        <w:t>高校产学研创新基金—</w:t>
      </w:r>
      <w:r>
        <w:rPr>
          <w:rFonts w:hint="default" w:ascii="Times New Roman" w:hAnsi="Times New Roman"/>
          <w:color w:val="auto"/>
          <w:sz w:val="28"/>
          <w:szCs w:val="28"/>
        </w:rPr>
        <w:t>九强临床检验专项”，用以支持高校在体液和组织学检测领域的创新研究。</w:t>
      </w:r>
    </w:p>
    <w:p w14:paraId="79E54962">
      <w:pPr>
        <w:keepNext w:val="0"/>
        <w:keepLines w:val="0"/>
        <w:pageBreakBefore w:val="0"/>
        <w:widowControl/>
        <w:kinsoku/>
        <w:wordWrap/>
        <w:overflowPunct/>
        <w:topLinePunct w:val="0"/>
        <w:autoSpaceDE/>
        <w:autoSpaceDN/>
        <w:bidi w:val="0"/>
        <w:adjustRightInd/>
        <w:snapToGrid/>
        <w:spacing w:before="157" w:beforeLines="50" w:after="157" w:afterLines="50" w:line="360" w:lineRule="auto"/>
        <w:ind w:firstLine="480"/>
        <w:textAlignment w:val="auto"/>
        <w:rPr>
          <w:rFonts w:ascii="Times New Roman" w:hAnsi="Times New Roman"/>
          <w:b/>
          <w:bCs/>
          <w:color w:val="auto"/>
          <w:sz w:val="32"/>
          <w:szCs w:val="32"/>
        </w:rPr>
      </w:pPr>
      <w:r>
        <w:rPr>
          <w:rFonts w:hint="default" w:ascii="Times New Roman" w:hAnsi="Times New Roman"/>
          <w:b/>
          <w:bCs/>
          <w:color w:val="auto"/>
          <w:sz w:val="32"/>
          <w:szCs w:val="32"/>
        </w:rPr>
        <w:t>一、课题说明</w:t>
      </w:r>
    </w:p>
    <w:p w14:paraId="6C3D285D">
      <w:pPr>
        <w:numPr>
          <w:ilvl w:val="-1"/>
          <w:numId w:val="0"/>
        </w:numPr>
        <w:spacing w:before="0" w:after="0" w:line="360" w:lineRule="auto"/>
        <w:ind w:firstLine="560" w:firstLineChars="200"/>
        <w:rPr>
          <w:rFonts w:hint="default" w:ascii="Times New Roman" w:hAnsi="Times New Roman"/>
          <w:color w:val="auto"/>
          <w:sz w:val="28"/>
          <w:szCs w:val="28"/>
        </w:rPr>
      </w:pPr>
      <w:r>
        <w:rPr>
          <w:rFonts w:hint="eastAsia"/>
          <w:color w:val="auto"/>
          <w:sz w:val="28"/>
          <w:szCs w:val="28"/>
          <w:lang w:val="en-US" w:eastAsia="zh-CN"/>
        </w:rPr>
        <w:t xml:space="preserve">1. </w:t>
      </w:r>
      <w:r>
        <w:rPr>
          <w:rFonts w:hint="default" w:ascii="Times New Roman" w:hAnsi="Times New Roman"/>
          <w:color w:val="auto"/>
          <w:sz w:val="28"/>
          <w:szCs w:val="28"/>
        </w:rPr>
        <w:t>专项</w:t>
      </w:r>
      <w:r>
        <w:rPr>
          <w:rFonts w:ascii="Times New Roman" w:hAnsi="Times New Roman"/>
          <w:color w:val="auto"/>
          <w:sz w:val="28"/>
          <w:szCs w:val="28"/>
        </w:rPr>
        <w:t>课题</w:t>
      </w:r>
      <w:r>
        <w:rPr>
          <w:rFonts w:hint="default" w:ascii="Times New Roman" w:hAnsi="Times New Roman"/>
          <w:color w:val="auto"/>
          <w:sz w:val="28"/>
          <w:szCs w:val="28"/>
        </w:rPr>
        <w:t>旨在全国范围内遴选合作高校，共同探讨各研究指标在临床检测中的应用价值，推动检测平台和项目转化的落地和推广。本次申报包括生化、凝血、</w:t>
      </w:r>
      <w:r>
        <w:rPr>
          <w:rFonts w:hint="default" w:ascii="Times New Roman" w:hAnsi="Times New Roman"/>
          <w:color w:val="auto"/>
          <w:sz w:val="28"/>
          <w:szCs w:val="28"/>
          <w:lang w:val="en-US" w:eastAsia="zh-CN"/>
        </w:rPr>
        <w:t>发光</w:t>
      </w:r>
      <w:r>
        <w:rPr>
          <w:rFonts w:hint="default" w:ascii="Times New Roman" w:hAnsi="Times New Roman"/>
          <w:color w:val="auto"/>
          <w:sz w:val="28"/>
          <w:szCs w:val="28"/>
        </w:rPr>
        <w:t>、血型和病理等五个检测方向。针对各检测指标在对应领域的创新研究，鼓励在项目提供科研产品的基础上，通过基础研究、临床研究和教学实践，验证其在疾病发生</w:t>
      </w:r>
      <w:r>
        <w:rPr>
          <w:rFonts w:hint="eastAsia"/>
          <w:color w:val="auto"/>
          <w:sz w:val="28"/>
          <w:szCs w:val="28"/>
          <w:lang w:eastAsia="zh-CN"/>
        </w:rPr>
        <w:t>、</w:t>
      </w:r>
      <w:r>
        <w:rPr>
          <w:rFonts w:hint="default" w:ascii="Times New Roman" w:hAnsi="Times New Roman"/>
          <w:color w:val="auto"/>
          <w:sz w:val="28"/>
          <w:szCs w:val="28"/>
        </w:rPr>
        <w:t>发展及转归中的作用，为进一步完善优化诊疗方案提供依据。</w:t>
      </w:r>
    </w:p>
    <w:p w14:paraId="7F957C20">
      <w:pPr>
        <w:numPr>
          <w:ilvl w:val="-1"/>
          <w:numId w:val="0"/>
        </w:numPr>
        <w:spacing w:before="0" w:after="0" w:line="360" w:lineRule="auto"/>
        <w:ind w:firstLine="560" w:firstLineChars="200"/>
        <w:rPr>
          <w:rFonts w:hint="default" w:ascii="Times New Roman" w:hAnsi="Times New Roman"/>
          <w:color w:val="auto"/>
          <w:sz w:val="28"/>
          <w:szCs w:val="28"/>
        </w:rPr>
      </w:pPr>
      <w:r>
        <w:rPr>
          <w:rFonts w:hint="eastAsia"/>
          <w:color w:val="auto"/>
          <w:sz w:val="28"/>
          <w:szCs w:val="28"/>
          <w:lang w:val="en-US" w:eastAsia="zh-CN"/>
        </w:rPr>
        <w:t xml:space="preserve">2. </w:t>
      </w:r>
      <w:r>
        <w:rPr>
          <w:rFonts w:hint="default" w:ascii="Times New Roman" w:hAnsi="Times New Roman"/>
          <w:color w:val="auto"/>
          <w:sz w:val="28"/>
          <w:szCs w:val="28"/>
        </w:rPr>
        <w:t>申请人在本课题研究过程中，应遵守国家相关</w:t>
      </w:r>
      <w:r>
        <w:rPr>
          <w:rFonts w:hint="default" w:ascii="Times New Roman" w:hAnsi="Times New Roman"/>
          <w:color w:val="000000" w:themeColor="text1"/>
          <w:sz w:val="28"/>
          <w:szCs w:val="28"/>
          <w:lang w:eastAsia="zh-CN"/>
          <w14:textFill>
            <w14:solidFill>
              <w14:schemeClr w14:val="tx1"/>
            </w14:solidFill>
          </w14:textFill>
        </w:rPr>
        <w:t>法律法规</w:t>
      </w:r>
      <w:r>
        <w:rPr>
          <w:rFonts w:hint="default" w:ascii="Times New Roman" w:hAnsi="Times New Roman"/>
          <w:color w:val="auto"/>
          <w:sz w:val="28"/>
          <w:szCs w:val="28"/>
        </w:rPr>
        <w:t>和有关规定，按照产品说明书进行研究。</w:t>
      </w:r>
    </w:p>
    <w:p w14:paraId="1115A56E">
      <w:pPr>
        <w:numPr>
          <w:ilvl w:val="0"/>
          <w:numId w:val="2"/>
        </w:numPr>
        <w:spacing w:before="0" w:after="0" w:line="360" w:lineRule="auto"/>
        <w:ind w:firstLine="560"/>
        <w:rPr>
          <w:rFonts w:hint="default" w:ascii="Times New Roman" w:hAnsi="Times New Roman"/>
          <w:color w:val="auto"/>
          <w:sz w:val="28"/>
          <w:szCs w:val="28"/>
        </w:rPr>
      </w:pPr>
      <w:r>
        <w:rPr>
          <w:rFonts w:hint="default" w:ascii="Times New Roman" w:hAnsi="Times New Roman"/>
          <w:color w:val="auto"/>
          <w:sz w:val="28"/>
          <w:szCs w:val="28"/>
        </w:rPr>
        <w:t>根据确定的研究内容，“九强临床检验专项”为每个资助课题提供不低于10万元的研究经费及科研软硬件平台支持（研究经费不低于总经费的50%）。课题申请人无需向资助企业额外购买配套设备或软件。</w:t>
      </w:r>
    </w:p>
    <w:p w14:paraId="79E4D8FD">
      <w:pPr>
        <w:numPr>
          <w:ilvl w:val="0"/>
          <w:numId w:val="2"/>
        </w:numPr>
        <w:spacing w:before="0" w:after="0" w:line="360" w:lineRule="auto"/>
        <w:ind w:firstLine="560" w:firstLineChars="200"/>
        <w:rPr>
          <w:rFonts w:ascii="Times New Roman" w:hAnsi="Times New Roman"/>
          <w:color w:val="000000" w:themeColor="text1"/>
          <w:sz w:val="28"/>
          <w:szCs w:val="28"/>
          <w14:textFill>
            <w14:solidFill>
              <w14:schemeClr w14:val="tx1"/>
            </w14:solidFill>
          </w14:textFill>
        </w:rPr>
      </w:pPr>
      <w:r>
        <w:rPr>
          <w:rFonts w:hint="default" w:ascii="Times New Roman" w:hAnsi="Times New Roman"/>
          <w:color w:val="000000" w:themeColor="text1"/>
          <w:sz w:val="28"/>
          <w:szCs w:val="28"/>
          <w14:textFill>
            <w14:solidFill>
              <w14:schemeClr w14:val="tx1"/>
            </w14:solidFill>
          </w14:textFill>
        </w:rPr>
        <w:t>课题的</w:t>
      </w:r>
      <w:r>
        <w:rPr>
          <w:rFonts w:ascii="Times New Roman" w:hAnsi="Times New Roman"/>
          <w:color w:val="000000" w:themeColor="text1"/>
          <w:sz w:val="28"/>
          <w:szCs w:val="28"/>
          <w14:textFill>
            <w14:solidFill>
              <w14:schemeClr w14:val="tx1"/>
            </w14:solidFill>
          </w14:textFill>
        </w:rPr>
        <w:t>申请截止时间为</w:t>
      </w:r>
      <w:r>
        <w:rPr>
          <w:rFonts w:hint="default" w:ascii="Times New Roman" w:hAnsi="Times New Roman" w:eastAsia="宋体"/>
          <w:b w:val="0"/>
          <w:bCs w:val="0"/>
          <w:color w:val="000000" w:themeColor="text1"/>
          <w:sz w:val="28"/>
          <w:szCs w:val="28"/>
          <w14:textFill>
            <w14:solidFill>
              <w14:schemeClr w14:val="tx1"/>
            </w14:solidFill>
          </w14:textFill>
        </w:rPr>
        <w:t>202</w:t>
      </w:r>
      <w:r>
        <w:rPr>
          <w:rFonts w:hint="eastAsia"/>
          <w:b w:val="0"/>
          <w:bCs w:val="0"/>
          <w:color w:val="000000" w:themeColor="text1"/>
          <w:sz w:val="28"/>
          <w:szCs w:val="28"/>
          <w:lang w:val="en-US" w:eastAsia="zh-CN"/>
          <w14:textFill>
            <w14:solidFill>
              <w14:schemeClr w14:val="tx1"/>
            </w14:solidFill>
          </w14:textFill>
        </w:rPr>
        <w:t>6</w:t>
      </w:r>
      <w:r>
        <w:rPr>
          <w:rFonts w:hint="default" w:ascii="Times New Roman" w:hAnsi="Times New Roman" w:eastAsia="宋体"/>
          <w:b w:val="0"/>
          <w:bCs w:val="0"/>
          <w:color w:val="000000" w:themeColor="text1"/>
          <w:sz w:val="28"/>
          <w:szCs w:val="28"/>
          <w14:textFill>
            <w14:solidFill>
              <w14:schemeClr w14:val="tx1"/>
            </w14:solidFill>
          </w14:textFill>
        </w:rPr>
        <w:t>年</w:t>
      </w:r>
      <w:r>
        <w:rPr>
          <w:rFonts w:hint="eastAsia"/>
          <w:b w:val="0"/>
          <w:bCs w:val="0"/>
          <w:color w:val="000000" w:themeColor="text1"/>
          <w:sz w:val="28"/>
          <w:szCs w:val="28"/>
          <w:lang w:val="en-US" w:eastAsia="zh-CN"/>
          <w14:textFill>
            <w14:solidFill>
              <w14:schemeClr w14:val="tx1"/>
            </w14:solidFill>
          </w14:textFill>
        </w:rPr>
        <w:t>3</w:t>
      </w:r>
      <w:r>
        <w:rPr>
          <w:rFonts w:hint="default" w:ascii="Times New Roman" w:hAnsi="Times New Roman" w:eastAsia="宋体"/>
          <w:b w:val="0"/>
          <w:bCs w:val="0"/>
          <w:color w:val="000000" w:themeColor="text1"/>
          <w:sz w:val="28"/>
          <w:szCs w:val="28"/>
          <w14:textFill>
            <w14:solidFill>
              <w14:schemeClr w14:val="tx1"/>
            </w14:solidFill>
          </w14:textFill>
        </w:rPr>
        <w:t>月</w:t>
      </w:r>
      <w:r>
        <w:rPr>
          <w:rFonts w:hint="eastAsia"/>
          <w:b w:val="0"/>
          <w:bCs w:val="0"/>
          <w:color w:val="000000" w:themeColor="text1"/>
          <w:sz w:val="28"/>
          <w:szCs w:val="28"/>
          <w:lang w:val="en-US" w:eastAsia="zh-CN"/>
          <w14:textFill>
            <w14:solidFill>
              <w14:schemeClr w14:val="tx1"/>
            </w14:solidFill>
          </w14:textFill>
        </w:rPr>
        <w:t>2</w:t>
      </w:r>
      <w:r>
        <w:rPr>
          <w:rFonts w:hint="default" w:ascii="Times New Roman" w:hAnsi="Times New Roman" w:eastAsia="宋体"/>
          <w:b w:val="0"/>
          <w:bCs w:val="0"/>
          <w:color w:val="000000" w:themeColor="text1"/>
          <w:sz w:val="28"/>
          <w:szCs w:val="28"/>
          <w14:textFill>
            <w14:solidFill>
              <w14:schemeClr w14:val="tx1"/>
            </w14:solidFill>
          </w14:textFill>
        </w:rPr>
        <w:t>日</w:t>
      </w:r>
      <w:r>
        <w:rPr>
          <w:rFonts w:ascii="Times New Roman" w:hAnsi="Times New Roman"/>
          <w:color w:val="000000" w:themeColor="text1"/>
          <w:sz w:val="28"/>
          <w:szCs w:val="28"/>
          <w14:textFill>
            <w14:solidFill>
              <w14:schemeClr w14:val="tx1"/>
            </w14:solidFill>
          </w14:textFill>
        </w:rPr>
        <w:t>。计划</w:t>
      </w:r>
      <w:r>
        <w:rPr>
          <w:rFonts w:hint="default" w:ascii="Times New Roman" w:hAnsi="Times New Roman"/>
          <w:color w:val="000000" w:themeColor="text1"/>
          <w:sz w:val="28"/>
          <w:szCs w:val="28"/>
          <w14:textFill>
            <w14:solidFill>
              <w14:schemeClr w14:val="tx1"/>
            </w14:solidFill>
          </w14:textFill>
        </w:rPr>
        <w:t>执行时间为</w:t>
      </w:r>
      <w:r>
        <w:rPr>
          <w:rFonts w:hint="default" w:ascii="Times New Roman" w:hAnsi="Times New Roman" w:eastAsia="宋体"/>
          <w:b w:val="0"/>
          <w:bCs w:val="0"/>
          <w:color w:val="000000" w:themeColor="text1"/>
          <w:sz w:val="28"/>
          <w:szCs w:val="28"/>
          <w14:textFill>
            <w14:solidFill>
              <w14:schemeClr w14:val="tx1"/>
            </w14:solidFill>
          </w14:textFill>
        </w:rPr>
        <w:t>202</w:t>
      </w:r>
      <w:r>
        <w:rPr>
          <w:rFonts w:hint="eastAsia"/>
          <w:b w:val="0"/>
          <w:bCs w:val="0"/>
          <w:color w:val="000000" w:themeColor="text1"/>
          <w:sz w:val="28"/>
          <w:szCs w:val="28"/>
          <w:lang w:val="en-US" w:eastAsia="zh-CN"/>
          <w14:textFill>
            <w14:solidFill>
              <w14:schemeClr w14:val="tx1"/>
            </w14:solidFill>
          </w14:textFill>
        </w:rPr>
        <w:t>6</w:t>
      </w:r>
      <w:r>
        <w:rPr>
          <w:rFonts w:hint="default" w:ascii="Times New Roman" w:hAnsi="Times New Roman" w:eastAsia="宋体"/>
          <w:b w:val="0"/>
          <w:bCs w:val="0"/>
          <w:color w:val="000000" w:themeColor="text1"/>
          <w:sz w:val="28"/>
          <w:szCs w:val="28"/>
          <w14:textFill>
            <w14:solidFill>
              <w14:schemeClr w14:val="tx1"/>
            </w14:solidFill>
          </w14:textFill>
        </w:rPr>
        <w:t>年</w:t>
      </w:r>
      <w:r>
        <w:rPr>
          <w:rFonts w:hint="eastAsia"/>
          <w:b w:val="0"/>
          <w:bCs w:val="0"/>
          <w:color w:val="000000" w:themeColor="text1"/>
          <w:sz w:val="28"/>
          <w:szCs w:val="28"/>
          <w:lang w:val="en-US" w:eastAsia="zh-CN"/>
          <w14:textFill>
            <w14:solidFill>
              <w14:schemeClr w14:val="tx1"/>
            </w14:solidFill>
          </w14:textFill>
        </w:rPr>
        <w:t>5</w:t>
      </w:r>
      <w:r>
        <w:rPr>
          <w:rFonts w:hint="default" w:ascii="Times New Roman" w:hAnsi="Times New Roman" w:eastAsia="宋体"/>
          <w:b w:val="0"/>
          <w:bCs w:val="0"/>
          <w:color w:val="000000" w:themeColor="text1"/>
          <w:sz w:val="28"/>
          <w:szCs w:val="28"/>
          <w14:textFill>
            <w14:solidFill>
              <w14:schemeClr w14:val="tx1"/>
            </w14:solidFill>
          </w14:textFill>
        </w:rPr>
        <w:t>月</w:t>
      </w:r>
      <w:r>
        <w:rPr>
          <w:rFonts w:hint="eastAsia"/>
          <w:b w:val="0"/>
          <w:bCs w:val="0"/>
          <w:color w:val="000000" w:themeColor="text1"/>
          <w:sz w:val="28"/>
          <w:szCs w:val="28"/>
          <w:lang w:val="en-US" w:eastAsia="zh-CN"/>
          <w14:textFill>
            <w14:solidFill>
              <w14:schemeClr w14:val="tx1"/>
            </w14:solidFill>
          </w14:textFill>
        </w:rPr>
        <w:t>3</w:t>
      </w:r>
      <w:r>
        <w:rPr>
          <w:rFonts w:hint="default" w:ascii="Times New Roman" w:hAnsi="Times New Roman" w:eastAsia="宋体"/>
          <w:b w:val="0"/>
          <w:bCs w:val="0"/>
          <w:color w:val="000000" w:themeColor="text1"/>
          <w:sz w:val="28"/>
          <w:szCs w:val="28"/>
          <w14:textFill>
            <w14:solidFill>
              <w14:schemeClr w14:val="tx1"/>
            </w14:solidFill>
          </w14:textFill>
        </w:rPr>
        <w:t>日～202</w:t>
      </w:r>
      <w:r>
        <w:rPr>
          <w:rFonts w:hint="eastAsia"/>
          <w:b w:val="0"/>
          <w:bCs w:val="0"/>
          <w:color w:val="000000" w:themeColor="text1"/>
          <w:sz w:val="28"/>
          <w:szCs w:val="28"/>
          <w:lang w:val="en-US" w:eastAsia="zh-CN"/>
          <w14:textFill>
            <w14:solidFill>
              <w14:schemeClr w14:val="tx1"/>
            </w14:solidFill>
          </w14:textFill>
        </w:rPr>
        <w:t>7</w:t>
      </w:r>
      <w:r>
        <w:rPr>
          <w:rFonts w:hint="default" w:ascii="Times New Roman" w:hAnsi="Times New Roman" w:eastAsia="宋体"/>
          <w:b w:val="0"/>
          <w:bCs w:val="0"/>
          <w:color w:val="000000" w:themeColor="text1"/>
          <w:sz w:val="28"/>
          <w:szCs w:val="28"/>
          <w14:textFill>
            <w14:solidFill>
              <w14:schemeClr w14:val="tx1"/>
            </w14:solidFill>
          </w14:textFill>
        </w:rPr>
        <w:t>年</w:t>
      </w:r>
      <w:r>
        <w:rPr>
          <w:rFonts w:hint="eastAsia"/>
          <w:b w:val="0"/>
          <w:bCs w:val="0"/>
          <w:color w:val="000000" w:themeColor="text1"/>
          <w:sz w:val="28"/>
          <w:szCs w:val="28"/>
          <w:lang w:val="en-US" w:eastAsia="zh-CN"/>
          <w14:textFill>
            <w14:solidFill>
              <w14:schemeClr w14:val="tx1"/>
            </w14:solidFill>
          </w14:textFill>
        </w:rPr>
        <w:t>5</w:t>
      </w:r>
      <w:r>
        <w:rPr>
          <w:rFonts w:hint="default" w:ascii="Times New Roman" w:hAnsi="Times New Roman" w:eastAsia="宋体"/>
          <w:b w:val="0"/>
          <w:bCs w:val="0"/>
          <w:color w:val="000000" w:themeColor="text1"/>
          <w:sz w:val="28"/>
          <w:szCs w:val="28"/>
          <w14:textFill>
            <w14:solidFill>
              <w14:schemeClr w14:val="tx1"/>
            </w14:solidFill>
          </w14:textFill>
        </w:rPr>
        <w:t>月</w:t>
      </w:r>
      <w:r>
        <w:rPr>
          <w:rFonts w:hint="eastAsia"/>
          <w:b w:val="0"/>
          <w:bCs w:val="0"/>
          <w:color w:val="000000" w:themeColor="text1"/>
          <w:sz w:val="28"/>
          <w:szCs w:val="28"/>
          <w:lang w:val="en-US" w:eastAsia="zh-CN"/>
          <w14:textFill>
            <w14:solidFill>
              <w14:schemeClr w14:val="tx1"/>
            </w14:solidFill>
          </w14:textFill>
        </w:rPr>
        <w:t>2</w:t>
      </w:r>
      <w:r>
        <w:rPr>
          <w:rFonts w:hint="default" w:ascii="Times New Roman" w:hAnsi="Times New Roman" w:eastAsia="宋体"/>
          <w:b w:val="0"/>
          <w:bCs w:val="0"/>
          <w:color w:val="000000" w:themeColor="text1"/>
          <w:sz w:val="28"/>
          <w:szCs w:val="28"/>
          <w14:textFill>
            <w14:solidFill>
              <w14:schemeClr w14:val="tx1"/>
            </w14:solidFill>
          </w14:textFill>
        </w:rPr>
        <w:t>日</w:t>
      </w:r>
      <w:r>
        <w:rPr>
          <w:rFonts w:hint="default" w:ascii="Times New Roman" w:hAnsi="Times New Roman"/>
          <w:color w:val="000000" w:themeColor="text1"/>
          <w:sz w:val="28"/>
          <w:szCs w:val="28"/>
          <w14:textFill>
            <w14:solidFill>
              <w14:schemeClr w14:val="tx1"/>
            </w14:solidFill>
          </w14:textFill>
        </w:rPr>
        <w:t>。</w:t>
      </w:r>
    </w:p>
    <w:p w14:paraId="46903A3B">
      <w:pPr>
        <w:numPr>
          <w:ilvl w:val="0"/>
          <w:numId w:val="3"/>
        </w:numPr>
        <w:spacing w:before="0" w:after="0" w:line="360" w:lineRule="auto"/>
        <w:ind w:firstLine="560"/>
        <w:rPr>
          <w:rFonts w:ascii="Times New Roman" w:hAnsi="Times New Roman"/>
          <w:color w:val="auto"/>
          <w:sz w:val="28"/>
          <w:szCs w:val="28"/>
        </w:rPr>
      </w:pPr>
      <w:r>
        <w:rPr>
          <w:rFonts w:hint="default" w:ascii="Times New Roman" w:hAnsi="Times New Roman"/>
          <w:color w:val="auto"/>
          <w:sz w:val="28"/>
          <w:szCs w:val="28"/>
        </w:rPr>
        <w:t>资助课题获得的知识产权由资助方单位和</w:t>
      </w:r>
      <w:r>
        <w:rPr>
          <w:rFonts w:ascii="Times New Roman" w:hAnsi="Times New Roman"/>
          <w:color w:val="auto"/>
          <w:sz w:val="28"/>
          <w:szCs w:val="28"/>
        </w:rPr>
        <w:t>课题承担单位共同</w:t>
      </w:r>
      <w:r>
        <w:rPr>
          <w:rFonts w:hint="default" w:ascii="Times New Roman" w:hAnsi="Times New Roman"/>
          <w:color w:val="auto"/>
          <w:sz w:val="28"/>
          <w:szCs w:val="28"/>
        </w:rPr>
        <w:t>所有。</w:t>
      </w:r>
    </w:p>
    <w:p w14:paraId="222A7247">
      <w:pPr>
        <w:numPr>
          <w:ilvl w:val="0"/>
          <w:numId w:val="4"/>
        </w:numPr>
        <w:spacing w:before="0" w:after="0" w:line="360" w:lineRule="auto"/>
        <w:ind w:firstLine="560"/>
        <w:rPr>
          <w:rFonts w:ascii="Times New Roman" w:hAnsi="Times New Roman"/>
          <w:color w:val="auto"/>
          <w:sz w:val="28"/>
          <w:szCs w:val="28"/>
        </w:rPr>
      </w:pPr>
      <w:r>
        <w:rPr>
          <w:rFonts w:hint="default" w:ascii="Times New Roman" w:hAnsi="Times New Roman"/>
          <w:color w:val="auto"/>
          <w:sz w:val="28"/>
          <w:szCs w:val="28"/>
        </w:rPr>
        <w:t>课题分为固定课题</w:t>
      </w:r>
      <w:r>
        <w:rPr>
          <w:rFonts w:hint="eastAsia"/>
          <w:color w:val="auto"/>
          <w:sz w:val="28"/>
          <w:szCs w:val="28"/>
          <w:lang w:eastAsia="zh-CN"/>
        </w:rPr>
        <w:t>（</w:t>
      </w:r>
      <w:r>
        <w:rPr>
          <w:rFonts w:hint="eastAsia"/>
          <w:color w:val="auto"/>
          <w:sz w:val="28"/>
          <w:szCs w:val="28"/>
          <w:lang w:val="en-US" w:eastAsia="zh-CN"/>
        </w:rPr>
        <w:t>表一</w:t>
      </w:r>
      <w:r>
        <w:rPr>
          <w:rFonts w:hint="eastAsia"/>
          <w:color w:val="auto"/>
          <w:sz w:val="28"/>
          <w:szCs w:val="28"/>
          <w:lang w:eastAsia="zh-CN"/>
        </w:rPr>
        <w:t>）</w:t>
      </w:r>
      <w:r>
        <w:rPr>
          <w:rFonts w:hint="default" w:ascii="Times New Roman" w:hAnsi="Times New Roman"/>
          <w:color w:val="auto"/>
          <w:sz w:val="28"/>
          <w:szCs w:val="28"/>
        </w:rPr>
        <w:t>和自主课题</w:t>
      </w:r>
      <w:r>
        <w:rPr>
          <w:rFonts w:hint="eastAsia"/>
          <w:color w:val="auto"/>
          <w:sz w:val="28"/>
          <w:szCs w:val="28"/>
          <w:lang w:eastAsia="zh-CN"/>
        </w:rPr>
        <w:t>（</w:t>
      </w:r>
      <w:r>
        <w:rPr>
          <w:rFonts w:hint="eastAsia"/>
          <w:color w:val="auto"/>
          <w:sz w:val="28"/>
          <w:szCs w:val="28"/>
          <w:lang w:val="en-US" w:eastAsia="zh-CN"/>
        </w:rPr>
        <w:t>表二</w:t>
      </w:r>
      <w:r>
        <w:rPr>
          <w:rFonts w:hint="eastAsia"/>
          <w:color w:val="auto"/>
          <w:sz w:val="28"/>
          <w:szCs w:val="28"/>
          <w:lang w:eastAsia="zh-CN"/>
        </w:rPr>
        <w:t>）</w:t>
      </w:r>
      <w:r>
        <w:rPr>
          <w:rFonts w:hint="default" w:ascii="Times New Roman" w:hAnsi="Times New Roman"/>
          <w:color w:val="auto"/>
          <w:sz w:val="28"/>
          <w:szCs w:val="28"/>
        </w:rPr>
        <w:t>两类：</w:t>
      </w:r>
    </w:p>
    <w:p w14:paraId="18B61278">
      <w:pPr>
        <w:pStyle w:val="12"/>
        <w:numPr>
          <w:ilvl w:val="0"/>
          <w:numId w:val="0"/>
        </w:numPr>
        <w:spacing w:before="0" w:beforeLines="50" w:after="0" w:afterLines="50" w:line="360" w:lineRule="auto"/>
        <w:ind w:firstLine="560" w:firstLineChars="200"/>
        <w:jc w:val="both"/>
        <w:rPr>
          <w:rFonts w:ascii="Times New Roman" w:hAnsi="Times New Roman"/>
          <w:b/>
          <w:color w:val="auto"/>
          <w:sz w:val="24"/>
          <w:szCs w:val="24"/>
        </w:rPr>
      </w:pPr>
      <w:r>
        <w:rPr>
          <w:rFonts w:hint="eastAsia"/>
          <w:color w:val="auto"/>
          <w:sz w:val="28"/>
          <w:szCs w:val="28"/>
          <w:lang w:eastAsia="zh-CN"/>
        </w:rPr>
        <w:t>（</w:t>
      </w:r>
      <w:r>
        <w:rPr>
          <w:rFonts w:hint="eastAsia"/>
          <w:color w:val="auto"/>
          <w:sz w:val="28"/>
          <w:szCs w:val="28"/>
          <w:lang w:val="en-US" w:eastAsia="zh-CN"/>
        </w:rPr>
        <w:t>1</w:t>
      </w:r>
      <w:r>
        <w:rPr>
          <w:rFonts w:hint="eastAsia"/>
          <w:color w:val="auto"/>
          <w:sz w:val="28"/>
          <w:szCs w:val="28"/>
          <w:lang w:eastAsia="zh-CN"/>
        </w:rPr>
        <w:t>）</w:t>
      </w:r>
      <w:r>
        <w:rPr>
          <w:rFonts w:hint="default" w:ascii="Times New Roman" w:hAnsi="Times New Roman"/>
          <w:color w:val="auto"/>
          <w:sz w:val="28"/>
          <w:szCs w:val="28"/>
        </w:rPr>
        <w:t>固定课题：根据产业发展需要，设立相关的科研课题，申请院校从</w:t>
      </w:r>
      <w:r>
        <w:rPr>
          <w:rFonts w:hint="eastAsia"/>
          <w:color w:val="auto"/>
          <w:sz w:val="28"/>
          <w:szCs w:val="28"/>
          <w:lang w:val="en-US" w:eastAsia="zh-CN"/>
        </w:rPr>
        <w:t>固定课题</w:t>
      </w:r>
      <w:r>
        <w:rPr>
          <w:rFonts w:hint="default" w:ascii="Times New Roman" w:hAnsi="Times New Roman"/>
          <w:color w:val="auto"/>
          <w:sz w:val="28"/>
          <w:szCs w:val="28"/>
        </w:rPr>
        <w:t>（表一）中选择课题方向进行申报，要求基于本</w:t>
      </w:r>
      <w:r>
        <w:rPr>
          <w:rFonts w:ascii="Times New Roman" w:hAnsi="Times New Roman"/>
          <w:color w:val="auto"/>
          <w:sz w:val="28"/>
          <w:szCs w:val="28"/>
        </w:rPr>
        <w:t>专项</w:t>
      </w:r>
      <w:r>
        <w:rPr>
          <w:rFonts w:hint="default" w:ascii="Times New Roman" w:hAnsi="Times New Roman"/>
          <w:color w:val="auto"/>
          <w:sz w:val="28"/>
          <w:szCs w:val="28"/>
        </w:rPr>
        <w:t>提供的试剂和设备平台（见表三）进行研究。</w:t>
      </w:r>
    </w:p>
    <w:p w14:paraId="5296105E">
      <w:pPr>
        <w:spacing w:before="156" w:beforeLines="50" w:after="156" w:afterLines="50" w:line="360" w:lineRule="auto"/>
        <w:ind w:firstLine="0" w:firstLineChars="0"/>
        <w:jc w:val="center"/>
        <w:rPr>
          <w:rFonts w:ascii="Times New Roman" w:hAnsi="Times New Roman"/>
          <w:b/>
          <w:color w:val="auto"/>
          <w:sz w:val="28"/>
          <w:szCs w:val="28"/>
        </w:rPr>
      </w:pPr>
      <w:r>
        <w:rPr>
          <w:rFonts w:hint="default" w:ascii="Times New Roman" w:hAnsi="Times New Roman"/>
          <w:b/>
          <w:color w:val="auto"/>
          <w:sz w:val="28"/>
          <w:szCs w:val="28"/>
        </w:rPr>
        <w:t>表一 固定课题选题列表</w:t>
      </w:r>
    </w:p>
    <w:tbl>
      <w:tblPr>
        <w:tblStyle w:val="9"/>
        <w:tblW w:w="86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2014"/>
        <w:gridCol w:w="5844"/>
      </w:tblGrid>
      <w:tr w14:paraId="0FAAA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811" w:type="dxa"/>
            <w:tcBorders>
              <w:top w:val="single" w:color="auto" w:sz="4" w:space="0"/>
              <w:left w:val="single" w:color="auto" w:sz="4" w:space="0"/>
              <w:bottom w:val="single" w:color="auto" w:sz="4" w:space="0"/>
              <w:right w:val="single" w:color="auto" w:sz="4" w:space="0"/>
            </w:tcBorders>
            <w:shd w:val="clear" w:color="auto" w:fill="BFBFBF"/>
            <w:vAlign w:val="center"/>
          </w:tcPr>
          <w:p w14:paraId="5FCB4446">
            <w:pPr>
              <w:keepNext w:val="0"/>
              <w:keepLines w:val="0"/>
              <w:pageBreakBefore w:val="0"/>
              <w:widowControl/>
              <w:kinsoku/>
              <w:wordWrap/>
              <w:overflowPunct/>
              <w:topLinePunct w:val="0"/>
              <w:autoSpaceDE/>
              <w:autoSpaceDN/>
              <w:bidi w:val="0"/>
              <w:adjustRightInd/>
              <w:snapToGrid/>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方向</w:t>
            </w:r>
          </w:p>
          <w:p w14:paraId="27F38C0B">
            <w:pPr>
              <w:keepNext w:val="0"/>
              <w:keepLines w:val="0"/>
              <w:pageBreakBefore w:val="0"/>
              <w:widowControl/>
              <w:kinsoku/>
              <w:wordWrap/>
              <w:overflowPunct/>
              <w:topLinePunct w:val="0"/>
              <w:autoSpaceDE/>
              <w:autoSpaceDN/>
              <w:bidi w:val="0"/>
              <w:adjustRightInd/>
              <w:snapToGrid/>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编号</w:t>
            </w:r>
          </w:p>
        </w:tc>
        <w:tc>
          <w:tcPr>
            <w:tcW w:w="2014" w:type="dxa"/>
            <w:tcBorders>
              <w:top w:val="single" w:color="auto" w:sz="4" w:space="0"/>
              <w:left w:val="single" w:color="auto" w:sz="4" w:space="0"/>
              <w:bottom w:val="single" w:color="auto" w:sz="4" w:space="0"/>
              <w:right w:val="single" w:color="auto" w:sz="4" w:space="0"/>
            </w:tcBorders>
            <w:shd w:val="clear" w:color="auto" w:fill="BFBFBF"/>
            <w:noWrap/>
            <w:vAlign w:val="center"/>
          </w:tcPr>
          <w:p w14:paraId="0EC88BD9">
            <w:pPr>
              <w:keepNext w:val="0"/>
              <w:keepLines w:val="0"/>
              <w:pageBreakBefore w:val="0"/>
              <w:widowControl/>
              <w:kinsoku/>
              <w:wordWrap/>
              <w:overflowPunct/>
              <w:topLinePunct w:val="0"/>
              <w:autoSpaceDE/>
              <w:autoSpaceDN/>
              <w:bidi w:val="0"/>
              <w:adjustRightInd/>
              <w:snapToGrid/>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课题方向</w:t>
            </w:r>
          </w:p>
        </w:tc>
        <w:tc>
          <w:tcPr>
            <w:tcW w:w="5844" w:type="dxa"/>
            <w:tcBorders>
              <w:top w:val="single" w:color="auto" w:sz="4" w:space="0"/>
              <w:left w:val="single" w:color="auto" w:sz="4" w:space="0"/>
              <w:bottom w:val="single" w:color="auto" w:sz="4" w:space="0"/>
              <w:right w:val="single" w:color="auto" w:sz="4" w:space="0"/>
            </w:tcBorders>
            <w:shd w:val="clear" w:color="auto" w:fill="BFBFBF"/>
            <w:noWrap/>
            <w:vAlign w:val="center"/>
          </w:tcPr>
          <w:p w14:paraId="20CC2C44">
            <w:pPr>
              <w:keepNext w:val="0"/>
              <w:keepLines w:val="0"/>
              <w:pageBreakBefore w:val="0"/>
              <w:widowControl/>
              <w:kinsoku/>
              <w:wordWrap/>
              <w:overflowPunct/>
              <w:topLinePunct w:val="0"/>
              <w:autoSpaceDE/>
              <w:autoSpaceDN/>
              <w:bidi w:val="0"/>
              <w:adjustRightInd/>
              <w:snapToGrid/>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课题研究内容</w:t>
            </w:r>
          </w:p>
        </w:tc>
      </w:tr>
      <w:tr w14:paraId="2C084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trPr>
        <w:tc>
          <w:tcPr>
            <w:tcW w:w="811" w:type="dxa"/>
            <w:tcBorders>
              <w:top w:val="single" w:color="auto" w:sz="4" w:space="0"/>
              <w:left w:val="single" w:color="auto" w:sz="4" w:space="0"/>
              <w:bottom w:val="single" w:color="auto" w:sz="4" w:space="0"/>
              <w:right w:val="single" w:color="auto" w:sz="4" w:space="0"/>
            </w:tcBorders>
            <w:vAlign w:val="center"/>
          </w:tcPr>
          <w:p w14:paraId="136CC678">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A01</w:t>
            </w:r>
          </w:p>
        </w:tc>
        <w:tc>
          <w:tcPr>
            <w:tcW w:w="2014" w:type="dxa"/>
            <w:tcBorders>
              <w:top w:val="single" w:color="auto" w:sz="4" w:space="0"/>
              <w:left w:val="single" w:color="auto" w:sz="4" w:space="0"/>
              <w:bottom w:val="single" w:color="auto" w:sz="4" w:space="0"/>
              <w:right w:val="single" w:color="auto" w:sz="4" w:space="0"/>
            </w:tcBorders>
            <w:noWrap/>
            <w:vAlign w:val="center"/>
          </w:tcPr>
          <w:p w14:paraId="707D5DA1">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病理：乳腺癌和生殖系统相关肿瘤标记物、病理机制研究和预后分析</w:t>
            </w:r>
          </w:p>
        </w:tc>
        <w:tc>
          <w:tcPr>
            <w:tcW w:w="5844" w:type="dxa"/>
            <w:tcBorders>
              <w:top w:val="single" w:color="auto" w:sz="4" w:space="0"/>
              <w:left w:val="single" w:color="auto" w:sz="4" w:space="0"/>
              <w:bottom w:val="single" w:color="auto" w:sz="4" w:space="0"/>
              <w:right w:val="single" w:color="auto" w:sz="4" w:space="0"/>
            </w:tcBorders>
            <w:noWrap/>
            <w:vAlign w:val="center"/>
          </w:tcPr>
          <w:p w14:paraId="7AE974EF">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研究内容至少包含下列一个或多个方向：</w:t>
            </w:r>
          </w:p>
          <w:p w14:paraId="21EBA7BB">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1.研究ER、PR、Her-2等不同肿瘤标记物在乳腺癌和生殖系统肿瘤中的表达、分型、临床分期及预后的意义，为病理诊断和临床治疗提供更精准的指导方案和理论依据；</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2.研究MMP11、UBE2T、COL10A1、TNFSF14等不同基因或蛋白在乳腺癌和生殖系统肿瘤中的调控机制，为乳腺癌靶向治疗提供新的理论依据和潜在治疗靶点；</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3.研究乳腺癌和生殖系统肿瘤中不同克隆号抗体在不同染色平台的一致性分析，为病理行业提供更优质的产品建议，为国产替代提供实验依据。</w:t>
            </w:r>
          </w:p>
        </w:tc>
      </w:tr>
      <w:tr w14:paraId="57DD8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300CB83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A02</w:t>
            </w:r>
          </w:p>
        </w:tc>
        <w:tc>
          <w:tcPr>
            <w:tcW w:w="2014" w:type="dxa"/>
            <w:tcBorders>
              <w:top w:val="single" w:color="auto" w:sz="4" w:space="0"/>
              <w:left w:val="single" w:color="auto" w:sz="4" w:space="0"/>
              <w:bottom w:val="single" w:color="auto" w:sz="4" w:space="0"/>
              <w:right w:val="single" w:color="auto" w:sz="4" w:space="0"/>
            </w:tcBorders>
            <w:noWrap/>
            <w:vAlign w:val="center"/>
          </w:tcPr>
          <w:p w14:paraId="29CE26A6">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病理：消化系统相关肿瘤标记物、病理机制研究和预后分析</w:t>
            </w:r>
          </w:p>
        </w:tc>
        <w:tc>
          <w:tcPr>
            <w:tcW w:w="5844" w:type="dxa"/>
            <w:tcBorders>
              <w:top w:val="single" w:color="auto" w:sz="4" w:space="0"/>
              <w:left w:val="single" w:color="auto" w:sz="4" w:space="0"/>
              <w:bottom w:val="single" w:color="auto" w:sz="4" w:space="0"/>
              <w:right w:val="single" w:color="auto" w:sz="4" w:space="0"/>
            </w:tcBorders>
            <w:noWrap/>
            <w:vAlign w:val="center"/>
          </w:tcPr>
          <w:p w14:paraId="0D786789">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研究内容至少包含下列一个或多个方向：</w:t>
            </w:r>
          </w:p>
          <w:p w14:paraId="6F119142">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1.研究MMR等不同肿瘤标记物在消化系统肿瘤中的表达、分型、临床分期及预后的意义，为病理诊断和临床治疗提供更精准的指导方案和理论依据；</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2.研究SFRP1、KRAS、BRAF、RDH16等不同基因或蛋白在消化系统肿瘤中的调控机制，为消化系统肿瘤靶向治疗提供新的理论依据和潜在治疗靶点；</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3.研究消化系统肿瘤中不同克隆号抗体在不同染色平台上的一致性分析，为病理行业提供更优质的产品建议，为国产替代提供实验依据。</w:t>
            </w:r>
          </w:p>
        </w:tc>
      </w:tr>
      <w:tr w14:paraId="26A00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1D6CBF1B">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A03</w:t>
            </w:r>
          </w:p>
        </w:tc>
        <w:tc>
          <w:tcPr>
            <w:tcW w:w="2014" w:type="dxa"/>
            <w:tcBorders>
              <w:top w:val="single" w:color="auto" w:sz="4" w:space="0"/>
              <w:left w:val="single" w:color="auto" w:sz="4" w:space="0"/>
              <w:bottom w:val="single" w:color="auto" w:sz="4" w:space="0"/>
              <w:right w:val="single" w:color="auto" w:sz="4" w:space="0"/>
            </w:tcBorders>
            <w:noWrap/>
            <w:vAlign w:val="center"/>
          </w:tcPr>
          <w:p w14:paraId="10035E3F">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病理：呼吸系统相关肿瘤标记物、病理机制研究和预后分析</w:t>
            </w:r>
          </w:p>
        </w:tc>
        <w:tc>
          <w:tcPr>
            <w:tcW w:w="5844" w:type="dxa"/>
            <w:tcBorders>
              <w:top w:val="single" w:color="auto" w:sz="4" w:space="0"/>
              <w:left w:val="single" w:color="auto" w:sz="4" w:space="0"/>
              <w:bottom w:val="single" w:color="auto" w:sz="4" w:space="0"/>
              <w:right w:val="single" w:color="auto" w:sz="4" w:space="0"/>
            </w:tcBorders>
            <w:noWrap/>
            <w:vAlign w:val="center"/>
          </w:tcPr>
          <w:p w14:paraId="471A2582">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研究内容至少包含下列一个或多个方向：</w:t>
            </w:r>
          </w:p>
          <w:p w14:paraId="0F6B79C2">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1.研究PD-L1、ALK、EGFR、ROS1、BRAF V600E、SMARCA4等不同肿瘤标记物在呼吸系统肿瘤中的表达、分型、临床分期及预后的意义，为病理诊断和临床治疗提供更精准的指导方案和理论依据；</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2.研究ALK、EGFR、ROS1、BRAF V600E、SMARCA4、OAS3等不同基因或蛋白在呼吸系统肿瘤中的调控机制，为呼吸系统肿瘤靶向治疗提供新的理论依据和潜在治疗靶点；</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3.研究呼吸系统肿瘤中不同克隆号抗体在不同染色平台上的一致性分析，为病理行业提供更优质的产品建议，为国产替代提供实验依据。</w:t>
            </w:r>
          </w:p>
        </w:tc>
      </w:tr>
      <w:tr w14:paraId="65583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3889F7C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A04</w:t>
            </w:r>
          </w:p>
        </w:tc>
        <w:tc>
          <w:tcPr>
            <w:tcW w:w="2014" w:type="dxa"/>
            <w:tcBorders>
              <w:top w:val="single" w:color="auto" w:sz="4" w:space="0"/>
              <w:left w:val="single" w:color="auto" w:sz="4" w:space="0"/>
              <w:bottom w:val="single" w:color="auto" w:sz="4" w:space="0"/>
              <w:right w:val="single" w:color="auto" w:sz="4" w:space="0"/>
            </w:tcBorders>
            <w:noWrap/>
            <w:vAlign w:val="center"/>
          </w:tcPr>
          <w:p w14:paraId="7B42FE55">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病理：泌尿系统相关肿瘤标记物、病理机制研究和预后分析</w:t>
            </w:r>
          </w:p>
        </w:tc>
        <w:tc>
          <w:tcPr>
            <w:tcW w:w="5844" w:type="dxa"/>
            <w:tcBorders>
              <w:top w:val="single" w:color="auto" w:sz="4" w:space="0"/>
              <w:left w:val="single" w:color="auto" w:sz="4" w:space="0"/>
              <w:bottom w:val="single" w:color="auto" w:sz="4" w:space="0"/>
              <w:right w:val="single" w:color="auto" w:sz="4" w:space="0"/>
            </w:tcBorders>
            <w:noWrap/>
            <w:vAlign w:val="center"/>
          </w:tcPr>
          <w:p w14:paraId="33B6C63F">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研究内容至少包含下列一个或多个方向：</w:t>
            </w:r>
          </w:p>
          <w:p w14:paraId="26D44173">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1.研究UCHL1等不同肿瘤标记物在泌尿系统肿瘤中的表达、分型、临床分期及预后的意义，为病理诊断和临床治疗提供更精准的指导方案和理论依据；</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2.研究UCHL1等不同基因或蛋白在泌尿系统肿瘤中的调控机制，为泌尿系统肿瘤靶向治疗提供新的理论依据和潜在治疗靶点；</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3.研究泌尿系统肿瘤中不同克隆号抗体在不同染色平台上的一致性分析，为病理行业提供更优质的产品建议，为国产替代提供实验依据。</w:t>
            </w:r>
          </w:p>
        </w:tc>
      </w:tr>
      <w:tr w14:paraId="1A429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7CC56D5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A05</w:t>
            </w:r>
          </w:p>
        </w:tc>
        <w:tc>
          <w:tcPr>
            <w:tcW w:w="2014" w:type="dxa"/>
            <w:tcBorders>
              <w:top w:val="single" w:color="auto" w:sz="4" w:space="0"/>
              <w:left w:val="single" w:color="auto" w:sz="4" w:space="0"/>
              <w:bottom w:val="single" w:color="auto" w:sz="4" w:space="0"/>
              <w:right w:val="single" w:color="auto" w:sz="4" w:space="0"/>
            </w:tcBorders>
            <w:noWrap/>
            <w:vAlign w:val="center"/>
          </w:tcPr>
          <w:p w14:paraId="41DDC651">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病理：头颈部肿瘤标记物、病理机制研究和预后分析</w:t>
            </w:r>
          </w:p>
        </w:tc>
        <w:tc>
          <w:tcPr>
            <w:tcW w:w="5844" w:type="dxa"/>
            <w:tcBorders>
              <w:top w:val="single" w:color="auto" w:sz="4" w:space="0"/>
              <w:left w:val="single" w:color="auto" w:sz="4" w:space="0"/>
              <w:bottom w:val="single" w:color="auto" w:sz="4" w:space="0"/>
              <w:right w:val="single" w:color="auto" w:sz="4" w:space="0"/>
            </w:tcBorders>
            <w:noWrap/>
            <w:vAlign w:val="center"/>
          </w:tcPr>
          <w:p w14:paraId="1141A422">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研究内容至少包含下列一个或多个方向：</w:t>
            </w:r>
          </w:p>
          <w:p w14:paraId="398F41AA">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1.研究不同肿瘤标记物在头颈部肿瘤中的表达、分型、临床分期及预后的意义，为病理诊断和临床治疗提供更精准的指导方案和理论依据；</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2.研究不同基因或蛋白在头颈部肿瘤中的调控机制，为头颈部肿瘤靶向治疗提供新的理论依据和潜在治疗靶点；</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3.研究头颈部肿瘤中不同克隆号抗体在不同染色平台上的一致性分析，为病理行业提供更优质的产品建议，为国产替代提供实验依据。</w:t>
            </w:r>
          </w:p>
        </w:tc>
      </w:tr>
      <w:tr w14:paraId="69CDA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679BD017">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A06</w:t>
            </w:r>
          </w:p>
        </w:tc>
        <w:tc>
          <w:tcPr>
            <w:tcW w:w="2014" w:type="dxa"/>
            <w:tcBorders>
              <w:top w:val="single" w:color="auto" w:sz="4" w:space="0"/>
              <w:left w:val="single" w:color="auto" w:sz="4" w:space="0"/>
              <w:bottom w:val="single" w:color="auto" w:sz="4" w:space="0"/>
              <w:right w:val="single" w:color="auto" w:sz="4" w:space="0"/>
            </w:tcBorders>
            <w:noWrap/>
            <w:vAlign w:val="center"/>
          </w:tcPr>
          <w:p w14:paraId="17491876">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病理：淋巴造血系统肿瘤标记物、病理机制研究和预后分析</w:t>
            </w:r>
          </w:p>
        </w:tc>
        <w:tc>
          <w:tcPr>
            <w:tcW w:w="5844" w:type="dxa"/>
            <w:tcBorders>
              <w:top w:val="single" w:color="auto" w:sz="4" w:space="0"/>
              <w:left w:val="single" w:color="auto" w:sz="4" w:space="0"/>
              <w:bottom w:val="single" w:color="auto" w:sz="4" w:space="0"/>
              <w:right w:val="single" w:color="auto" w:sz="4" w:space="0"/>
            </w:tcBorders>
            <w:noWrap/>
            <w:vAlign w:val="center"/>
          </w:tcPr>
          <w:p w14:paraId="6EF14281">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研究内容至少包含下列一个或多个方向：</w:t>
            </w:r>
          </w:p>
          <w:p w14:paraId="45D3A3A8">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1.研究CD79b等不同肿瘤标记物在淋巴造血系统肿瘤中的表达、分型、临床分期及预后的意义，为病理诊断和临床治疗提供更精准的指导方案和理论依据；</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2.研究CD79b等不同基因或蛋白在淋巴造血系统肿瘤中的调控机制，为淋巴造血系统肿瘤靶向治疗提供新的理论依据和潜在治疗靶点；</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3.研究淋巴造血系统肿瘤中不同克隆号抗体在不同染色平台的一致性，为病理行业提供更优质的产品建议，为国产替代提供实验依据。</w:t>
            </w:r>
          </w:p>
        </w:tc>
      </w:tr>
      <w:tr w14:paraId="651A0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10A82D83">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A07</w:t>
            </w:r>
          </w:p>
        </w:tc>
        <w:tc>
          <w:tcPr>
            <w:tcW w:w="2014" w:type="dxa"/>
            <w:tcBorders>
              <w:top w:val="single" w:color="auto" w:sz="4" w:space="0"/>
              <w:left w:val="single" w:color="auto" w:sz="4" w:space="0"/>
              <w:bottom w:val="single" w:color="auto" w:sz="4" w:space="0"/>
              <w:right w:val="single" w:color="auto" w:sz="4" w:space="0"/>
            </w:tcBorders>
            <w:noWrap/>
            <w:vAlign w:val="center"/>
          </w:tcPr>
          <w:p w14:paraId="74AA4A1F">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病理：新型显色剂在不同类型肿瘤病理诊断中的应用研究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0DD52157">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研究内容至少包含下列一个或多个方向：</w:t>
            </w:r>
          </w:p>
          <w:p w14:paraId="2F415A33">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1.探讨新型显色剂在黑色素瘤中应用；</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2.探讨不同颜色显色剂在组织学和细胞学双染或多染中的应用，包括前列腺双染、宫颈p16/ki67双染、乳腺癌双染、淋巴瘤双染、肺癌双染等；</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3.探讨不同显色剂在IHC-EBER双染技术中的应用。</w:t>
            </w:r>
          </w:p>
        </w:tc>
      </w:tr>
      <w:tr w14:paraId="570A0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112D306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A08</w:t>
            </w:r>
          </w:p>
        </w:tc>
        <w:tc>
          <w:tcPr>
            <w:tcW w:w="2014" w:type="dxa"/>
            <w:tcBorders>
              <w:top w:val="single" w:color="auto" w:sz="4" w:space="0"/>
              <w:left w:val="single" w:color="auto" w:sz="4" w:space="0"/>
              <w:bottom w:val="single" w:color="auto" w:sz="4" w:space="0"/>
              <w:right w:val="single" w:color="auto" w:sz="4" w:space="0"/>
            </w:tcBorders>
            <w:noWrap/>
            <w:vAlign w:val="center"/>
          </w:tcPr>
          <w:p w14:paraId="542CE5F7">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病理：人工智能在临床病理工作中的应用价值</w:t>
            </w:r>
          </w:p>
        </w:tc>
        <w:tc>
          <w:tcPr>
            <w:tcW w:w="5844" w:type="dxa"/>
            <w:tcBorders>
              <w:top w:val="single" w:color="auto" w:sz="4" w:space="0"/>
              <w:left w:val="single" w:color="auto" w:sz="4" w:space="0"/>
              <w:bottom w:val="single" w:color="auto" w:sz="4" w:space="0"/>
              <w:right w:val="single" w:color="auto" w:sz="4" w:space="0"/>
            </w:tcBorders>
            <w:noWrap/>
            <w:vAlign w:val="center"/>
          </w:tcPr>
          <w:p w14:paraId="4ED7623C">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研究内容至少包含下列一个或多个方向：</w:t>
            </w:r>
          </w:p>
          <w:p w14:paraId="3C560EED">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1.通过AI算法构建肿瘤预后和疗效预测的生物标记物评价体系；</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2.通过大数据分析探索免疫微环境AI模型以及指导肿瘤免疫治疗；</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3.通过组织学图像分析辅助病理诊断、预测肿瘤组织基因突变情况；</w:t>
            </w:r>
            <w:r>
              <w:rPr>
                <w:rFonts w:hint="default" w:ascii="Times New Roman" w:hAnsi="Times New Roman" w:cs="Times New Roman"/>
                <w:iCs w:val="0"/>
                <w:color w:val="000000" w:themeColor="text1"/>
                <w:sz w:val="24"/>
                <w:szCs w:val="24"/>
                <w:lang w:bidi="ar"/>
                <w14:textFill>
                  <w14:solidFill>
                    <w14:schemeClr w14:val="tx1"/>
                  </w14:solidFill>
                </w14:textFill>
              </w:rPr>
              <w:br w:type="textWrapping"/>
            </w:r>
            <w:r>
              <w:rPr>
                <w:rFonts w:hint="default" w:ascii="Times New Roman" w:hAnsi="Times New Roman" w:cs="Times New Roman"/>
                <w:iCs w:val="0"/>
                <w:color w:val="000000" w:themeColor="text1"/>
                <w:sz w:val="24"/>
                <w:szCs w:val="24"/>
                <w:lang w:bidi="ar"/>
                <w14:textFill>
                  <w14:solidFill>
                    <w14:schemeClr w14:val="tx1"/>
                  </w14:solidFill>
                </w14:textFill>
              </w:rPr>
              <w:t>4.基于组织学、免疫组化和分子检测建立肿瘤多模态人工智能模型的免疫组化、分子检测和人工智能研究。</w:t>
            </w:r>
          </w:p>
        </w:tc>
      </w:tr>
      <w:tr w14:paraId="3BB5D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1A0C6766">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A09</w:t>
            </w:r>
          </w:p>
        </w:tc>
        <w:tc>
          <w:tcPr>
            <w:tcW w:w="2014" w:type="dxa"/>
            <w:tcBorders>
              <w:top w:val="single" w:color="auto" w:sz="4" w:space="0"/>
              <w:left w:val="single" w:color="auto" w:sz="4" w:space="0"/>
              <w:bottom w:val="single" w:color="auto" w:sz="4" w:space="0"/>
              <w:right w:val="single" w:color="auto" w:sz="4" w:space="0"/>
            </w:tcBorders>
            <w:noWrap/>
            <w:vAlign w:val="center"/>
          </w:tcPr>
          <w:p w14:paraId="634CDF3D">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生化：轻链等肾病标志物的检验方法学优化及其提升肾病诊断准确性的临床循证研究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74E49DA5">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北方地区内轻链等各种标志物在肾功能异常患者体内的检测价值，基于生化平台新方法学检测试剂，通过对慢性肾病、急性肾损伤、肿瘤药物相关肾功异常以及肾衰竭等各类患者体内轻链、游离轻链、肌酐、胱抑素C等的检测，探索相关标志物在疾病发展转归中的应用价值。为保障研究整体进度，要求研究用样本收集时间小于6个月。</w:t>
            </w:r>
          </w:p>
        </w:tc>
      </w:tr>
      <w:tr w14:paraId="04196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3FB9701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A10</w:t>
            </w:r>
          </w:p>
        </w:tc>
        <w:tc>
          <w:tcPr>
            <w:tcW w:w="2014" w:type="dxa"/>
            <w:tcBorders>
              <w:top w:val="single" w:color="auto" w:sz="4" w:space="0"/>
              <w:left w:val="single" w:color="auto" w:sz="4" w:space="0"/>
              <w:bottom w:val="single" w:color="auto" w:sz="4" w:space="0"/>
              <w:right w:val="single" w:color="auto" w:sz="4" w:space="0"/>
            </w:tcBorders>
            <w:noWrap/>
            <w:vAlign w:val="center"/>
          </w:tcPr>
          <w:p w14:paraId="2F722CBA">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生化：肾功能标志物在特殊样本及药物干扰下的方法学评价与一致性比对研究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0149A340">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谷氨酸脱氢酶法肌酐检测平台，扩展关键肾功能评价标志物共同开展深度方法学评价，重点关注药物干扰评估（已明确报道或可能造成干扰的药物）、特殊样本适用性评价（肾移植、自身免疫病、恶性肿瘤等）与一致性评价等内容，明确干扰方向、程度及阈值，评价检测体系在南方地区特殊样本中的准确性和可靠性，并评估该体系结果与实验室现有主流同项目比对的一致性，最终目标服务于肾脏疾病的精准诊疗。要求研究用样本收集时间小于6个月。</w:t>
            </w:r>
          </w:p>
        </w:tc>
      </w:tr>
      <w:tr w14:paraId="24F70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811" w:type="dxa"/>
            <w:tcBorders>
              <w:top w:val="single" w:color="auto" w:sz="4" w:space="0"/>
              <w:left w:val="single" w:color="auto" w:sz="4" w:space="0"/>
              <w:bottom w:val="single" w:color="auto" w:sz="4" w:space="0"/>
              <w:right w:val="single" w:color="auto" w:sz="4" w:space="0"/>
            </w:tcBorders>
            <w:vAlign w:val="center"/>
          </w:tcPr>
          <w:p w14:paraId="3DA36BD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A11</w:t>
            </w:r>
          </w:p>
        </w:tc>
        <w:tc>
          <w:tcPr>
            <w:tcW w:w="2014" w:type="dxa"/>
            <w:tcBorders>
              <w:top w:val="single" w:color="auto" w:sz="4" w:space="0"/>
              <w:left w:val="single" w:color="auto" w:sz="4" w:space="0"/>
              <w:bottom w:val="single" w:color="auto" w:sz="4" w:space="0"/>
              <w:right w:val="single" w:color="auto" w:sz="4" w:space="0"/>
            </w:tcBorders>
            <w:noWrap/>
            <w:vAlign w:val="center"/>
          </w:tcPr>
          <w:p w14:paraId="2D64DBF0">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生化：基于炎症标志物及通路评价中西结合疗法对术后疼痛的疗效与机制研究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2E7E9C5A">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依托华北地区申报单位在中西结合的学科优势，聚焦术后疼痛患者，结合传统、新型炎症标志物水平监测，评价情志疗法等中西结合手段对术后疼痛的疗效，同时进行炎症信号传导通路在术后疼痛患者中激动/活化机制初探，深化对术后疼痛病理的理解。要求研究用样本收集时间小于6个月。</w:t>
            </w:r>
          </w:p>
        </w:tc>
      </w:tr>
      <w:tr w14:paraId="37CD2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5" w:hRule="atLeast"/>
        </w:trPr>
        <w:tc>
          <w:tcPr>
            <w:tcW w:w="811" w:type="dxa"/>
            <w:tcBorders>
              <w:top w:val="single" w:color="auto" w:sz="4" w:space="0"/>
              <w:left w:val="single" w:color="auto" w:sz="4" w:space="0"/>
              <w:bottom w:val="single" w:color="auto" w:sz="4" w:space="0"/>
              <w:right w:val="single" w:color="auto" w:sz="4" w:space="0"/>
            </w:tcBorders>
            <w:vAlign w:val="center"/>
          </w:tcPr>
          <w:p w14:paraId="6218E371">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A12</w:t>
            </w:r>
          </w:p>
        </w:tc>
        <w:tc>
          <w:tcPr>
            <w:tcW w:w="2014" w:type="dxa"/>
            <w:tcBorders>
              <w:top w:val="single" w:color="auto" w:sz="4" w:space="0"/>
              <w:left w:val="single" w:color="auto" w:sz="4" w:space="0"/>
              <w:bottom w:val="single" w:color="auto" w:sz="4" w:space="0"/>
              <w:right w:val="single" w:color="auto" w:sz="4" w:space="0"/>
            </w:tcBorders>
            <w:noWrap/>
            <w:vAlign w:val="center"/>
          </w:tcPr>
          <w:p w14:paraId="79E23DAA">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生化：血清免疫球蛋白游离轻链测定的性能评估及在多发性骨髓瘤中的应用价值研究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118A98DA">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聚焦游离轻链试剂的应用研究，借助浆细胞疾病区域诊疗中心数据基础，对国产游离轻链检测试剂盒的性能评估</w:t>
            </w:r>
            <w:r>
              <w:rPr>
                <w:rFonts w:hint="eastAsia" w:cs="Times New Roman"/>
                <w:iCs w:val="0"/>
                <w:color w:val="000000" w:themeColor="text1"/>
                <w:sz w:val="24"/>
                <w:szCs w:val="24"/>
                <w:lang w:eastAsia="zh-CN" w:bidi="ar"/>
                <w14:textFill>
                  <w14:solidFill>
                    <w14:schemeClr w14:val="tx1"/>
                  </w14:solidFill>
                </w14:textFill>
              </w:rPr>
              <w:t>，</w:t>
            </w:r>
            <w:r>
              <w:rPr>
                <w:rFonts w:hint="default" w:ascii="Times New Roman" w:hAnsi="Times New Roman" w:cs="Times New Roman"/>
                <w:iCs w:val="0"/>
                <w:color w:val="000000" w:themeColor="text1"/>
                <w:sz w:val="24"/>
                <w:szCs w:val="24"/>
                <w:lang w:bidi="ar"/>
                <w14:textFill>
                  <w14:solidFill>
                    <w14:schemeClr w14:val="tx1"/>
                  </w14:solidFill>
                </w14:textFill>
              </w:rPr>
              <w:t>与进口主流试剂和免疫固定电泳试剂性能做对比性研究，以发现不足和改进机遇，提升国产检测试剂的性能；同时评估游离轻链在多发性骨髓瘤诊断、疗效评估等多临床场景的应用价值。为保障研究整体进度，要求研究用样本收集时间小于6个月。</w:t>
            </w:r>
          </w:p>
        </w:tc>
      </w:tr>
      <w:tr w14:paraId="69CDE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22D346D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A13</w:t>
            </w:r>
          </w:p>
        </w:tc>
        <w:tc>
          <w:tcPr>
            <w:tcW w:w="2014" w:type="dxa"/>
            <w:tcBorders>
              <w:top w:val="single" w:color="auto" w:sz="4" w:space="0"/>
              <w:left w:val="single" w:color="auto" w:sz="4" w:space="0"/>
              <w:bottom w:val="single" w:color="auto" w:sz="4" w:space="0"/>
              <w:right w:val="single" w:color="auto" w:sz="4" w:space="0"/>
            </w:tcBorders>
            <w:noWrap/>
            <w:vAlign w:val="center"/>
          </w:tcPr>
          <w:p w14:paraId="722673F9">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生化：多维度生物标志物整合模型在恶性肿瘤患者心脏损伤识别、疾病风险分层中的应用</w:t>
            </w:r>
          </w:p>
        </w:tc>
        <w:tc>
          <w:tcPr>
            <w:tcW w:w="5844" w:type="dxa"/>
            <w:tcBorders>
              <w:top w:val="single" w:color="auto" w:sz="4" w:space="0"/>
              <w:left w:val="single" w:color="auto" w:sz="4" w:space="0"/>
              <w:bottom w:val="single" w:color="auto" w:sz="4" w:space="0"/>
              <w:right w:val="single" w:color="auto" w:sz="4" w:space="0"/>
            </w:tcBorders>
            <w:noWrap/>
            <w:vAlign w:val="center"/>
          </w:tcPr>
          <w:p w14:paraId="22DB19FA">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依托申报单位国家肿瘤区域医疗中心及省级癌症中心肿瘤学科优势，聚焦肺癌、乳腺癌、食道癌患者放化疗、免疫治疗后易出现心脏损伤的临床痛点，整合炎症—血管内皮损伤—心脏应激—结构重塑等多维度生物标志物，构建早期心脏损伤预测模型，同时评价上述标志物在心脏损伤程度病情分层中的效能，为临床提供科学、有效的检验医学证据，实现恶性肿瘤治疗患者重要脏器损伤干预关口前移。要求研究用样本收集时间小于6个月。</w:t>
            </w:r>
          </w:p>
        </w:tc>
      </w:tr>
      <w:tr w14:paraId="56BEE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2EA0CA0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A14</w:t>
            </w:r>
          </w:p>
        </w:tc>
        <w:tc>
          <w:tcPr>
            <w:tcW w:w="2014" w:type="dxa"/>
            <w:tcBorders>
              <w:top w:val="single" w:color="auto" w:sz="4" w:space="0"/>
              <w:left w:val="single" w:color="auto" w:sz="4" w:space="0"/>
              <w:bottom w:val="single" w:color="auto" w:sz="4" w:space="0"/>
              <w:right w:val="single" w:color="auto" w:sz="4" w:space="0"/>
            </w:tcBorders>
            <w:noWrap/>
            <w:vAlign w:val="center"/>
          </w:tcPr>
          <w:p w14:paraId="28928889">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生化：脓毒症监测标志物临床评价研究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231EE4B1">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脓毒症诊断及预后判断困难问题，基于中性粒细胞明胶酶运载蛋白等常规、非常规炎症标志物类体外诊断试剂产品，开展回顾性病例对照研究，主要内容包括对已收集的脓毒症患者的血清样本及健康对照血清样本，收集基础信息，并运用临床生化检测，研究上述指标在脓毒症诊断中的效能及在预后判断中的作用，为化学灾难应急公共卫生体系建设积累基础数据。要求研究用样本收集时间小于6个月。</w:t>
            </w:r>
          </w:p>
        </w:tc>
      </w:tr>
      <w:tr w14:paraId="09BDF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32C5193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A15</w:t>
            </w:r>
          </w:p>
        </w:tc>
        <w:tc>
          <w:tcPr>
            <w:tcW w:w="2014" w:type="dxa"/>
            <w:tcBorders>
              <w:top w:val="single" w:color="auto" w:sz="4" w:space="0"/>
              <w:left w:val="single" w:color="auto" w:sz="4" w:space="0"/>
              <w:bottom w:val="single" w:color="auto" w:sz="4" w:space="0"/>
              <w:right w:val="single" w:color="auto" w:sz="4" w:space="0"/>
            </w:tcBorders>
            <w:noWrap/>
            <w:vAlign w:val="center"/>
          </w:tcPr>
          <w:p w14:paraId="12347640">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生化：肾损伤早期标志物在预测造影剂相关肾损伤</w:t>
            </w:r>
            <w:r>
              <w:rPr>
                <w:rFonts w:hint="eastAsia" w:cs="Times New Roman"/>
                <w:iCs w:val="0"/>
                <w:color w:val="000000" w:themeColor="text1"/>
                <w:sz w:val="24"/>
                <w:szCs w:val="24"/>
                <w:lang w:eastAsia="zh-CN" w:bidi="ar"/>
                <w14:textFill>
                  <w14:solidFill>
                    <w14:schemeClr w14:val="tx1"/>
                  </w14:solidFill>
                </w14:textFill>
              </w:rPr>
              <w:t>（</w:t>
            </w:r>
            <w:r>
              <w:rPr>
                <w:rFonts w:hint="default" w:ascii="Times New Roman" w:hAnsi="Times New Roman" w:cs="Times New Roman"/>
                <w:iCs w:val="0"/>
                <w:color w:val="000000" w:themeColor="text1"/>
                <w:sz w:val="24"/>
                <w:szCs w:val="24"/>
                <w:lang w:bidi="ar"/>
                <w14:textFill>
                  <w14:solidFill>
                    <w14:schemeClr w14:val="tx1"/>
                  </w14:solidFill>
                </w14:textFill>
              </w:rPr>
              <w:t>CA-AKI</w:t>
            </w:r>
            <w:r>
              <w:rPr>
                <w:rFonts w:hint="eastAsia" w:cs="Times New Roman"/>
                <w:iCs w:val="0"/>
                <w:color w:val="000000" w:themeColor="text1"/>
                <w:sz w:val="24"/>
                <w:szCs w:val="24"/>
                <w:lang w:eastAsia="zh-CN" w:bidi="ar"/>
                <w14:textFill>
                  <w14:solidFill>
                    <w14:schemeClr w14:val="tx1"/>
                  </w14:solidFill>
                </w14:textFill>
              </w:rPr>
              <w:t>）</w:t>
            </w:r>
            <w:r>
              <w:rPr>
                <w:rFonts w:hint="default" w:ascii="Times New Roman" w:hAnsi="Times New Roman" w:cs="Times New Roman"/>
                <w:iCs w:val="0"/>
                <w:color w:val="000000" w:themeColor="text1"/>
                <w:sz w:val="24"/>
                <w:szCs w:val="24"/>
                <w:lang w:bidi="ar"/>
                <w14:textFill>
                  <w14:solidFill>
                    <w14:schemeClr w14:val="tx1"/>
                  </w14:solidFill>
                </w14:textFill>
              </w:rPr>
              <w:t>风险评价中应用研究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29A6130E">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评估新型肾脏损伤标志物NGAL相较于传统CREA、UREA、URIC在预测接受造影剂检查患者发生造影剂相关急性肾损伤风险中的优越性、时效性和临床应用价值。并通过基因编辑技术实现肾小管上皮细胞中NGAL的过表达以及沉默、结合动物模型，解析NGAL对造影剂相关肾损伤时肾小管上皮细胞生物学功能的影响、揭示NGAL涉及的信号通路，阐明NGAL参与造影剂相关急性肾损伤的作用及机制，为造影剂相关急性肾损伤的诊疗提供更加有效的分子标志，为急性肾损伤的治疗提供新的靶点，具有重要的临床意义。要求研究用样本收集时间小于6个月。</w:t>
            </w:r>
          </w:p>
        </w:tc>
      </w:tr>
      <w:tr w14:paraId="69400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4028479E">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A16</w:t>
            </w:r>
          </w:p>
        </w:tc>
        <w:tc>
          <w:tcPr>
            <w:tcW w:w="2014" w:type="dxa"/>
            <w:tcBorders>
              <w:top w:val="single" w:color="auto" w:sz="4" w:space="0"/>
              <w:left w:val="single" w:color="auto" w:sz="4" w:space="0"/>
              <w:bottom w:val="single" w:color="auto" w:sz="4" w:space="0"/>
              <w:right w:val="single" w:color="auto" w:sz="4" w:space="0"/>
            </w:tcBorders>
            <w:noWrap/>
            <w:vAlign w:val="center"/>
          </w:tcPr>
          <w:p w14:paraId="70178E9D">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生化：肝素结合蛋白联合纳米孔靶向测序技术诊断神经系统细菌与真菌感染的临床应用研究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19E2EE9A">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于神经系统感染病原体识别领域，致力于解决神经系统细菌与真菌感染因症状重叠、传统检测方法阳性率低而导致的诊断延迟和病原体不明这一临床瓶颈问题。纳米孔靶向测序是一种新出现的病原体检测技术，能显著提高病原体检出的灵敏度，但由于环境及采样过程</w:t>
            </w:r>
            <w:r>
              <w:rPr>
                <w:rFonts w:hint="eastAsia" w:cs="Times New Roman"/>
                <w:iCs w:val="0"/>
                <w:color w:val="000000" w:themeColor="text1"/>
                <w:sz w:val="24"/>
                <w:szCs w:val="24"/>
                <w:lang w:val="en-US" w:eastAsia="zh-CN" w:bidi="ar"/>
                <w14:textFill>
                  <w14:solidFill>
                    <w14:schemeClr w14:val="tx1"/>
                  </w14:solidFill>
                </w14:textFill>
              </w:rPr>
              <w:t>中</w:t>
            </w:r>
            <w:r>
              <w:rPr>
                <w:rFonts w:hint="default" w:ascii="Times New Roman" w:hAnsi="Times New Roman" w:cs="Times New Roman"/>
                <w:iCs w:val="0"/>
                <w:color w:val="000000" w:themeColor="text1"/>
                <w:sz w:val="24"/>
                <w:szCs w:val="24"/>
                <w:lang w:bidi="ar"/>
                <w14:textFill>
                  <w14:solidFill>
                    <w14:schemeClr w14:val="tx1"/>
                  </w14:solidFill>
                </w14:textFill>
              </w:rPr>
              <w:t>可能的污染，该方法的阳性预测值相对较低，可能会导致误诊及医保资源的浪费。依托国家级微生物研究机构优势，本研究拟联合脑脊液中HBP的检测与纳米孔病原体靶向测序，以临床诊断为金标准，建立神经系统细菌与真菌感染时脑脊液中HBP的阳性截断值，并评估此联合检测方法诊断神经系统细菌与真菌感染的效能。要求研究用样本收集时间小于6个月。</w:t>
            </w:r>
          </w:p>
        </w:tc>
      </w:tr>
      <w:tr w14:paraId="0BE69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11F22E7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A17</w:t>
            </w:r>
          </w:p>
        </w:tc>
        <w:tc>
          <w:tcPr>
            <w:tcW w:w="2014" w:type="dxa"/>
            <w:tcBorders>
              <w:top w:val="single" w:color="auto" w:sz="4" w:space="0"/>
              <w:left w:val="single" w:color="auto" w:sz="4" w:space="0"/>
              <w:bottom w:val="single" w:color="auto" w:sz="4" w:space="0"/>
              <w:right w:val="single" w:color="auto" w:sz="4" w:space="0"/>
            </w:tcBorders>
            <w:noWrap/>
            <w:vAlign w:val="center"/>
          </w:tcPr>
          <w:p w14:paraId="0314DDEA">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凝血：抗</w:t>
            </w:r>
            <w:r>
              <w:rPr>
                <w:rFonts w:hint="default" w:ascii="Times New Roman" w:hAnsi="Times New Roman" w:cs="Times New Roman"/>
                <w:color w:val="000000" w:themeColor="text1"/>
                <w:sz w:val="24"/>
                <w:szCs w:val="24"/>
                <w14:textFill>
                  <w14:solidFill>
                    <w14:schemeClr w14:val="tx1"/>
                  </w14:solidFill>
                </w14:textFill>
              </w:rPr>
              <w:t>Ⅹ</w:t>
            </w:r>
            <w:r>
              <w:rPr>
                <w:rFonts w:hint="default" w:ascii="Times New Roman" w:hAnsi="Times New Roman" w:cs="Times New Roman"/>
                <w:iCs w:val="0"/>
                <w:color w:val="000000" w:themeColor="text1"/>
                <w:sz w:val="24"/>
                <w:szCs w:val="24"/>
                <w:lang w:bidi="ar"/>
                <w14:textFill>
                  <w14:solidFill>
                    <w14:schemeClr w14:val="tx1"/>
                  </w14:solidFill>
                </w14:textFill>
              </w:rPr>
              <w:t>a检测在恶性肿瘤凝血障碍纠正中的价值</w:t>
            </w:r>
          </w:p>
        </w:tc>
        <w:tc>
          <w:tcPr>
            <w:tcW w:w="5844" w:type="dxa"/>
            <w:tcBorders>
              <w:top w:val="single" w:color="auto" w:sz="4" w:space="0"/>
              <w:left w:val="single" w:color="auto" w:sz="4" w:space="0"/>
              <w:bottom w:val="single" w:color="auto" w:sz="4" w:space="0"/>
              <w:right w:val="single" w:color="auto" w:sz="4" w:space="0"/>
            </w:tcBorders>
            <w:noWrap/>
            <w:vAlign w:val="center"/>
          </w:tcPr>
          <w:p w14:paraId="4B5BA3B0">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恶性肿瘤患者凝血障碍高发。凝血因子Ⅹ（F</w:t>
            </w:r>
            <w:r>
              <w:rPr>
                <w:rFonts w:hint="default" w:ascii="Times New Roman" w:hAnsi="Times New Roman" w:cs="Times New Roman"/>
                <w:color w:val="000000" w:themeColor="text1"/>
                <w:sz w:val="24"/>
                <w:szCs w:val="24"/>
                <w14:textFill>
                  <w14:solidFill>
                    <w14:schemeClr w14:val="tx1"/>
                  </w14:solidFill>
                </w14:textFill>
              </w:rPr>
              <w:t>Ⅹ</w:t>
            </w:r>
            <w:r>
              <w:rPr>
                <w:rFonts w:hint="default" w:ascii="Times New Roman" w:hAnsi="Times New Roman" w:cs="Times New Roman"/>
                <w:iCs w:val="0"/>
                <w:color w:val="000000" w:themeColor="text1"/>
                <w:sz w:val="24"/>
                <w:szCs w:val="24"/>
                <w:lang w:bidi="ar"/>
                <w14:textFill>
                  <w14:solidFill>
                    <w14:schemeClr w14:val="tx1"/>
                  </w14:solidFill>
                </w14:textFill>
              </w:rPr>
              <w:t>）属于凝血内源途径的关键凝血因子。抗</w:t>
            </w:r>
            <w:r>
              <w:rPr>
                <w:rFonts w:hint="default" w:ascii="Times New Roman" w:hAnsi="Times New Roman" w:cs="Times New Roman"/>
                <w:color w:val="000000" w:themeColor="text1"/>
                <w:sz w:val="24"/>
                <w:szCs w:val="24"/>
                <w14:textFill>
                  <w14:solidFill>
                    <w14:schemeClr w14:val="tx1"/>
                  </w14:solidFill>
                </w14:textFill>
              </w:rPr>
              <w:t>Ⅹ</w:t>
            </w:r>
            <w:r>
              <w:rPr>
                <w:rFonts w:hint="default" w:ascii="Times New Roman" w:hAnsi="Times New Roman" w:cs="Times New Roman"/>
                <w:iCs w:val="0"/>
                <w:color w:val="000000" w:themeColor="text1"/>
                <w:sz w:val="24"/>
                <w:szCs w:val="24"/>
                <w:lang w:bidi="ar"/>
                <w14:textFill>
                  <w14:solidFill>
                    <w14:schemeClr w14:val="tx1"/>
                  </w14:solidFill>
                </w14:textFill>
              </w:rPr>
              <w:t>a的药物主要包括普通肝素，低分子肝素如磺达肝癸钠以及拮抗</w:t>
            </w:r>
            <w:r>
              <w:rPr>
                <w:rFonts w:hint="default" w:ascii="Times New Roman" w:hAnsi="Times New Roman" w:cs="Times New Roman"/>
                <w:color w:val="000000" w:themeColor="text1"/>
                <w:sz w:val="24"/>
                <w:szCs w:val="24"/>
                <w14:textFill>
                  <w14:solidFill>
                    <w14:schemeClr w14:val="tx1"/>
                  </w14:solidFill>
                </w14:textFill>
              </w:rPr>
              <w:t>Ⅹ</w:t>
            </w:r>
            <w:r>
              <w:rPr>
                <w:rFonts w:hint="default" w:ascii="Times New Roman" w:hAnsi="Times New Roman" w:cs="Times New Roman"/>
                <w:iCs w:val="0"/>
                <w:color w:val="000000" w:themeColor="text1"/>
                <w:sz w:val="24"/>
                <w:szCs w:val="24"/>
                <w:lang w:bidi="ar"/>
                <w14:textFill>
                  <w14:solidFill>
                    <w14:schemeClr w14:val="tx1"/>
                  </w14:solidFill>
                </w14:textFill>
              </w:rPr>
              <w:t>因子的新型口服抗凝药，包括利伐沙班，阿哌沙班等。在配套布拉格治疗的基础上通过监测抗</w:t>
            </w:r>
            <w:r>
              <w:rPr>
                <w:rFonts w:hint="default" w:ascii="Times New Roman" w:hAnsi="Times New Roman" w:cs="Times New Roman"/>
                <w:color w:val="000000" w:themeColor="text1"/>
                <w:sz w:val="24"/>
                <w:szCs w:val="24"/>
                <w14:textFill>
                  <w14:solidFill>
                    <w14:schemeClr w14:val="tx1"/>
                  </w14:solidFill>
                </w14:textFill>
              </w:rPr>
              <w:t>Ⅹ</w:t>
            </w:r>
            <w:r>
              <w:rPr>
                <w:rFonts w:hint="default" w:ascii="Times New Roman" w:hAnsi="Times New Roman" w:cs="Times New Roman"/>
                <w:iCs w:val="0"/>
                <w:color w:val="000000" w:themeColor="text1"/>
                <w:sz w:val="24"/>
                <w:szCs w:val="24"/>
                <w:lang w:bidi="ar"/>
                <w14:textFill>
                  <w14:solidFill>
                    <w14:schemeClr w14:val="tx1"/>
                  </w14:solidFill>
                </w14:textFill>
              </w:rPr>
              <w:t>a活性，为纠正恶性肿瘤的凝血障碍（凝血亢进或低凝）提供依据。本研究的主要内容为在恶性肿瘤凝血障碍纠正患者体内抗</w:t>
            </w:r>
            <w:r>
              <w:rPr>
                <w:rFonts w:hint="default" w:ascii="Times New Roman" w:hAnsi="Times New Roman" w:cs="Times New Roman"/>
                <w:color w:val="000000" w:themeColor="text1"/>
                <w:sz w:val="24"/>
                <w:szCs w:val="24"/>
                <w14:textFill>
                  <w14:solidFill>
                    <w14:schemeClr w14:val="tx1"/>
                  </w14:solidFill>
                </w14:textFill>
              </w:rPr>
              <w:t>Ⅹ</w:t>
            </w:r>
            <w:r>
              <w:rPr>
                <w:rFonts w:hint="default" w:ascii="Times New Roman" w:hAnsi="Times New Roman" w:cs="Times New Roman"/>
                <w:iCs w:val="0"/>
                <w:color w:val="000000" w:themeColor="text1"/>
                <w:sz w:val="24"/>
                <w:szCs w:val="24"/>
                <w:lang w:bidi="ar"/>
                <w14:textFill>
                  <w14:solidFill>
                    <w14:schemeClr w14:val="tx1"/>
                  </w14:solidFill>
                </w14:textFill>
              </w:rPr>
              <w:t>a活性的变化特征，探讨抗FX治疗中抗</w:t>
            </w:r>
            <w:r>
              <w:rPr>
                <w:rFonts w:hint="default" w:ascii="Times New Roman" w:hAnsi="Times New Roman" w:cs="Times New Roman"/>
                <w:color w:val="000000" w:themeColor="text1"/>
                <w:sz w:val="24"/>
                <w:szCs w:val="24"/>
                <w14:textFill>
                  <w14:solidFill>
                    <w14:schemeClr w14:val="tx1"/>
                  </w14:solidFill>
                </w14:textFill>
              </w:rPr>
              <w:t>Ⅹ</w:t>
            </w:r>
            <w:r>
              <w:rPr>
                <w:rFonts w:hint="default" w:ascii="Times New Roman" w:hAnsi="Times New Roman" w:cs="Times New Roman"/>
                <w:iCs w:val="0"/>
                <w:color w:val="000000" w:themeColor="text1"/>
                <w:sz w:val="24"/>
                <w:szCs w:val="24"/>
                <w:lang w:bidi="ar"/>
                <w14:textFill>
                  <w14:solidFill>
                    <w14:schemeClr w14:val="tx1"/>
                  </w14:solidFill>
                </w14:textFill>
              </w:rPr>
              <w:t>a活性在该类疾病转归中的指导意义。要求研究用样本收集时间小于6个月。</w:t>
            </w:r>
          </w:p>
        </w:tc>
      </w:tr>
      <w:tr w14:paraId="32A3F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5600F2BF">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A18</w:t>
            </w:r>
          </w:p>
        </w:tc>
        <w:tc>
          <w:tcPr>
            <w:tcW w:w="2014" w:type="dxa"/>
            <w:tcBorders>
              <w:top w:val="single" w:color="auto" w:sz="4" w:space="0"/>
              <w:left w:val="single" w:color="auto" w:sz="4" w:space="0"/>
              <w:bottom w:val="single" w:color="auto" w:sz="4" w:space="0"/>
              <w:right w:val="single" w:color="auto" w:sz="4" w:space="0"/>
            </w:tcBorders>
            <w:noWrap/>
            <w:vAlign w:val="center"/>
          </w:tcPr>
          <w:p w14:paraId="738679FA">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凝血：抗</w:t>
            </w:r>
            <w:r>
              <w:rPr>
                <w:rFonts w:hint="default" w:ascii="Times New Roman" w:hAnsi="Times New Roman" w:cs="Times New Roman"/>
                <w:color w:val="000000" w:themeColor="text1"/>
                <w:sz w:val="24"/>
                <w:szCs w:val="24"/>
                <w14:textFill>
                  <w14:solidFill>
                    <w14:schemeClr w14:val="tx1"/>
                  </w14:solidFill>
                </w14:textFill>
              </w:rPr>
              <w:t>Ⅹ</w:t>
            </w:r>
            <w:r>
              <w:rPr>
                <w:rFonts w:hint="default" w:ascii="Times New Roman" w:hAnsi="Times New Roman" w:cs="Times New Roman"/>
                <w:iCs w:val="0"/>
                <w:color w:val="000000" w:themeColor="text1"/>
                <w:sz w:val="24"/>
                <w:szCs w:val="24"/>
                <w:lang w:bidi="ar"/>
                <w14:textFill>
                  <w14:solidFill>
                    <w14:schemeClr w14:val="tx1"/>
                  </w14:solidFill>
                </w14:textFill>
              </w:rPr>
              <w:t>a在监测肢体创伤患者抗凝药物用量中的临床应用价值研究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7B744064">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肢体创伤患者在术中及术后存在血栓风险，需进行抗凝干预，但在抗凝药物使用时机、剂量和时长，以及患者个体差异等因素均会影响抗凝效果，过量容易导致出血风险，通过在抗凝治疗过程中检测抗</w:t>
            </w:r>
            <w:r>
              <w:rPr>
                <w:rFonts w:hint="default" w:ascii="Times New Roman" w:hAnsi="Times New Roman" w:cs="Times New Roman"/>
                <w:color w:val="000000" w:themeColor="text1"/>
                <w:sz w:val="24"/>
                <w:szCs w:val="24"/>
                <w14:textFill>
                  <w14:solidFill>
                    <w14:schemeClr w14:val="tx1"/>
                  </w14:solidFill>
                </w14:textFill>
              </w:rPr>
              <w:t>Ⅹ</w:t>
            </w:r>
            <w:r>
              <w:rPr>
                <w:rFonts w:hint="default" w:ascii="Times New Roman" w:hAnsi="Times New Roman" w:cs="Times New Roman"/>
                <w:iCs w:val="0"/>
                <w:color w:val="000000" w:themeColor="text1"/>
                <w:sz w:val="24"/>
                <w:szCs w:val="24"/>
                <w:lang w:bidi="ar"/>
                <w14:textFill>
                  <w14:solidFill>
                    <w14:schemeClr w14:val="tx1"/>
                  </w14:solidFill>
                </w14:textFill>
              </w:rPr>
              <w:t>a，监测抗凝药物用量情况，降低患者血栓或出血风险。以省骨科区域医疗中心为研究基地，收集不少于1000例临床数据，建立可用于指导抗凝药物临床治疗方案，减少患者不良事件，提高预后。要求研究用样本收集时间小于6个月。</w:t>
            </w:r>
          </w:p>
        </w:tc>
      </w:tr>
      <w:tr w14:paraId="241D5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512D2FA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A19</w:t>
            </w:r>
          </w:p>
        </w:tc>
        <w:tc>
          <w:tcPr>
            <w:tcW w:w="2014" w:type="dxa"/>
            <w:tcBorders>
              <w:top w:val="single" w:color="auto" w:sz="4" w:space="0"/>
              <w:left w:val="single" w:color="auto" w:sz="4" w:space="0"/>
              <w:bottom w:val="single" w:color="auto" w:sz="4" w:space="0"/>
              <w:right w:val="single" w:color="auto" w:sz="4" w:space="0"/>
            </w:tcBorders>
            <w:noWrap/>
            <w:vAlign w:val="center"/>
          </w:tcPr>
          <w:p w14:paraId="1C1E027A">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凝血：不同狼疮抗凝物检测试验的临床诊断效能研究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44DBF315">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针对LA检测标准化不足的临床痛点，项目拟在南方地区国家级风湿免疫重点科室内进行，以APS、SLE、结缔组织病等自身免疫病患者和表观健康人群为研究对象（样本例数不少于300例），系统对比APTT、稀释蝰蛇毒时间（dRVVT）与硅凝固时间（SCT）的检验效能，关注LA检测方法学互补性验证、对肝素等药物干扰抵抗性能等，并建立LA检测标准化流程。要求研究用样本收集时间小于6个月。</w:t>
            </w:r>
          </w:p>
        </w:tc>
      </w:tr>
      <w:tr w14:paraId="33C51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3FC1A208">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A20</w:t>
            </w:r>
          </w:p>
        </w:tc>
        <w:tc>
          <w:tcPr>
            <w:tcW w:w="2014" w:type="dxa"/>
            <w:tcBorders>
              <w:top w:val="single" w:color="auto" w:sz="4" w:space="0"/>
              <w:left w:val="single" w:color="auto" w:sz="4" w:space="0"/>
              <w:bottom w:val="single" w:color="auto" w:sz="4" w:space="0"/>
              <w:right w:val="single" w:color="auto" w:sz="4" w:space="0"/>
            </w:tcBorders>
            <w:noWrap/>
            <w:vAlign w:val="center"/>
          </w:tcPr>
          <w:p w14:paraId="7548BAEC">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凝血：多指标联合检测在胰腺疾病患者诊疗中的应用价值</w:t>
            </w:r>
          </w:p>
        </w:tc>
        <w:tc>
          <w:tcPr>
            <w:tcW w:w="5844" w:type="dxa"/>
            <w:tcBorders>
              <w:top w:val="single" w:color="auto" w:sz="4" w:space="0"/>
              <w:left w:val="single" w:color="auto" w:sz="4" w:space="0"/>
              <w:bottom w:val="single" w:color="auto" w:sz="4" w:space="0"/>
              <w:right w:val="single" w:color="auto" w:sz="4" w:space="0"/>
            </w:tcBorders>
            <w:noWrap/>
            <w:vAlign w:val="center"/>
          </w:tcPr>
          <w:p w14:paraId="1F6CFC0E">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华南区域胰腺疾病患者（胰腺炎，胰腺癌等）为研究对象，探索该疾病在诊断治疗过程中不同检测指标的临床应用价值，包括ESM1、临床常见炎症因子、凝血因子水平等的变化综合分析不同作用机制的相关性及其变化规律，结合各疾病诊疗转归过程的监测数据综合分析ESM1等标志物在胰腺疾病患者中的应用价值。要求研究用样本收集时间小于6个月。</w:t>
            </w:r>
          </w:p>
        </w:tc>
      </w:tr>
      <w:tr w14:paraId="0C091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057311BB">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A21</w:t>
            </w:r>
          </w:p>
        </w:tc>
        <w:tc>
          <w:tcPr>
            <w:tcW w:w="2014" w:type="dxa"/>
            <w:tcBorders>
              <w:top w:val="single" w:color="auto" w:sz="4" w:space="0"/>
              <w:left w:val="single" w:color="auto" w:sz="4" w:space="0"/>
              <w:bottom w:val="single" w:color="auto" w:sz="4" w:space="0"/>
              <w:right w:val="single" w:color="auto" w:sz="4" w:space="0"/>
            </w:tcBorders>
            <w:noWrap/>
            <w:vAlign w:val="center"/>
          </w:tcPr>
          <w:p w14:paraId="4706E777">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凝血：国产高端凝血项目性能评价及在儿童肾病综合征临床应用效能研究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4EFB7179">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基于儿童肾病综合征存在获得性高凝状态的病理特征，以及现有凝血试剂参考区间多基于成人、儿童特异性不足的现状，依靠医院儿童生物样本库的资源，本项目拟结合高校科研优势与企业产业化优势，以国产凝血检测系统为平台，一方面开展凝血项目性能比对验证评价，并建立地区内0</w:t>
            </w:r>
            <w:r>
              <w:rPr>
                <w:rFonts w:hint="eastAsia" w:cs="Times New Roman"/>
                <w:iCs w:val="0"/>
                <w:color w:val="000000" w:themeColor="text1"/>
                <w:sz w:val="24"/>
                <w:szCs w:val="24"/>
                <w:lang w:val="en-US" w:eastAsia="zh-CN" w:bidi="ar"/>
                <w14:textFill>
                  <w14:solidFill>
                    <w14:schemeClr w14:val="tx1"/>
                  </w14:solidFill>
                </w14:textFill>
              </w:rPr>
              <w:t>~</w:t>
            </w:r>
            <w:r>
              <w:rPr>
                <w:rFonts w:hint="default" w:ascii="Times New Roman" w:hAnsi="Times New Roman" w:cs="Times New Roman"/>
                <w:iCs w:val="0"/>
                <w:color w:val="000000" w:themeColor="text1"/>
                <w:sz w:val="24"/>
                <w:szCs w:val="24"/>
                <w:lang w:bidi="ar"/>
                <w14:textFill>
                  <w14:solidFill>
                    <w14:schemeClr w14:val="tx1"/>
                  </w14:solidFill>
                </w14:textFill>
              </w:rPr>
              <w:t>14岁健康儿童凝血项目参考区间，另一方面对凝血标志物在儿童肾病综合征中的高凝状态预测和疗效监测价值进行分析，直击儿童及相关疾病凝血管理盲区。要求研究用样本收集时间小于6个月。</w:t>
            </w:r>
          </w:p>
        </w:tc>
      </w:tr>
      <w:tr w14:paraId="04CBE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64290FF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A22</w:t>
            </w:r>
          </w:p>
        </w:tc>
        <w:tc>
          <w:tcPr>
            <w:tcW w:w="2014" w:type="dxa"/>
            <w:tcBorders>
              <w:top w:val="single" w:color="auto" w:sz="4" w:space="0"/>
              <w:left w:val="single" w:color="auto" w:sz="4" w:space="0"/>
              <w:bottom w:val="single" w:color="auto" w:sz="4" w:space="0"/>
              <w:right w:val="single" w:color="auto" w:sz="4" w:space="0"/>
            </w:tcBorders>
            <w:noWrap/>
            <w:vAlign w:val="center"/>
          </w:tcPr>
          <w:p w14:paraId="33530339">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凝血：凝血标志物与原发性肝癌临床分期的相关性分析</w:t>
            </w:r>
          </w:p>
        </w:tc>
        <w:tc>
          <w:tcPr>
            <w:tcW w:w="5844" w:type="dxa"/>
            <w:tcBorders>
              <w:top w:val="single" w:color="auto" w:sz="4" w:space="0"/>
              <w:left w:val="single" w:color="auto" w:sz="4" w:space="0"/>
              <w:bottom w:val="single" w:color="auto" w:sz="4" w:space="0"/>
              <w:right w:val="single" w:color="auto" w:sz="4" w:space="0"/>
            </w:tcBorders>
            <w:noWrap/>
            <w:vAlign w:val="center"/>
          </w:tcPr>
          <w:p w14:paraId="1323B524">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基于原发性肝癌患者可表现出不同程度凝血、抗凝障碍的病理现象，依托医院既往2万例以上凝血数据库信息，项目拟在表观健康人群、肝硬化患者、原发性肝癌患者中分析凝血相关标志物表达水平的变化，进一步探究临床肝癌分期与凝血标志物之间的相关性，结合患者临床资料对监测原发性肝癌患者的出血倾向、预测出血并发症发生发展形成规律性建议。要求研究用样本收集时间小于6个月。</w:t>
            </w:r>
          </w:p>
        </w:tc>
      </w:tr>
      <w:tr w14:paraId="261EC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7163208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A23</w:t>
            </w:r>
          </w:p>
        </w:tc>
        <w:tc>
          <w:tcPr>
            <w:tcW w:w="2014" w:type="dxa"/>
            <w:tcBorders>
              <w:top w:val="single" w:color="auto" w:sz="4" w:space="0"/>
              <w:left w:val="single" w:color="auto" w:sz="4" w:space="0"/>
              <w:bottom w:val="single" w:color="auto" w:sz="4" w:space="0"/>
              <w:right w:val="single" w:color="auto" w:sz="4" w:space="0"/>
            </w:tcBorders>
            <w:noWrap/>
            <w:vAlign w:val="center"/>
          </w:tcPr>
          <w:p w14:paraId="5401839C">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凝血：国产凝血项目检测试剂盒性能评价及其在动脉狭窄相关疾病中的应用价值</w:t>
            </w:r>
          </w:p>
        </w:tc>
        <w:tc>
          <w:tcPr>
            <w:tcW w:w="5844" w:type="dxa"/>
            <w:tcBorders>
              <w:top w:val="single" w:color="auto" w:sz="4" w:space="0"/>
              <w:left w:val="single" w:color="auto" w:sz="4" w:space="0"/>
              <w:bottom w:val="single" w:color="auto" w:sz="4" w:space="0"/>
              <w:right w:val="single" w:color="auto" w:sz="4" w:space="0"/>
            </w:tcBorders>
            <w:noWrap/>
            <w:vAlign w:val="center"/>
          </w:tcPr>
          <w:p w14:paraId="447D1A08">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评价国产特殊凝血项目在动脉相关疾病及不同狭窄程度分层中的应用价值，综合多项临床诊断数据，分析特殊凝血项目对动脉狭窄及其严重程度的预测价值，完成国产高端凝血项目检测试剂盒的性能验证及临床应用价值的探讨。对国产凝血项目检测试剂盒的性能验证需包含与进口试剂进行的比对验证，同时需分析干扰因素（血浆质量、免疫大分子等）对检测结果的影响，保证临床检测结果的准确性。要求研究用样本收集时间小于6个月。</w:t>
            </w:r>
          </w:p>
        </w:tc>
      </w:tr>
      <w:tr w14:paraId="1C997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741C22A8">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A24</w:t>
            </w:r>
          </w:p>
        </w:tc>
        <w:tc>
          <w:tcPr>
            <w:tcW w:w="2014" w:type="dxa"/>
            <w:tcBorders>
              <w:top w:val="single" w:color="auto" w:sz="4" w:space="0"/>
              <w:left w:val="single" w:color="auto" w:sz="4" w:space="0"/>
              <w:bottom w:val="single" w:color="auto" w:sz="4" w:space="0"/>
              <w:right w:val="single" w:color="auto" w:sz="4" w:space="0"/>
            </w:tcBorders>
            <w:noWrap/>
            <w:vAlign w:val="center"/>
          </w:tcPr>
          <w:p w14:paraId="3EE21032">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凝血：初步建立适应临床应用场景的抗凝血酶检测试剂研发优化体系及拓展自身免疫性疾病血栓生物标志物研发</w:t>
            </w:r>
          </w:p>
        </w:tc>
        <w:tc>
          <w:tcPr>
            <w:tcW w:w="5844" w:type="dxa"/>
            <w:tcBorders>
              <w:top w:val="single" w:color="auto" w:sz="4" w:space="0"/>
              <w:left w:val="single" w:color="auto" w:sz="4" w:space="0"/>
              <w:bottom w:val="single" w:color="auto" w:sz="4" w:space="0"/>
              <w:right w:val="single" w:color="auto" w:sz="4" w:space="0"/>
            </w:tcBorders>
            <w:noWrap/>
            <w:vAlign w:val="center"/>
          </w:tcPr>
          <w:p w14:paraId="3A74CC87">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血栓性疾病缺乏特征性分子标志物以及现有检测指标敏感性和检测限无法满足临床需求的实验室检测困境，依托团队既往出血和血栓性疾病患者临床研究队列数据基础，分别对抗凝血酶活性检测试剂盒和自身免疫性血栓性疾病新型标志物研发的内容开展研究，并验证相关试剂盒检测性能及临床实际应用场景评估。要求研究用样本收集时间小于6个月。</w:t>
            </w:r>
          </w:p>
        </w:tc>
      </w:tr>
      <w:tr w14:paraId="4245B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2021E6EB">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A25</w:t>
            </w:r>
          </w:p>
        </w:tc>
        <w:tc>
          <w:tcPr>
            <w:tcW w:w="2014" w:type="dxa"/>
            <w:tcBorders>
              <w:top w:val="single" w:color="auto" w:sz="4" w:space="0"/>
              <w:left w:val="single" w:color="auto" w:sz="4" w:space="0"/>
              <w:bottom w:val="single" w:color="auto" w:sz="4" w:space="0"/>
              <w:right w:val="single" w:color="auto" w:sz="4" w:space="0"/>
            </w:tcBorders>
            <w:noWrap/>
            <w:vAlign w:val="center"/>
          </w:tcPr>
          <w:p w14:paraId="1ADAF25F">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凝血：抗磷脂综合征血栓风险管理中蛋白C、蛋白S及抗磷脂抗体谱协同效应相关模型的构建</w:t>
            </w:r>
          </w:p>
        </w:tc>
        <w:tc>
          <w:tcPr>
            <w:tcW w:w="5844" w:type="dxa"/>
            <w:tcBorders>
              <w:top w:val="single" w:color="auto" w:sz="4" w:space="0"/>
              <w:left w:val="single" w:color="auto" w:sz="4" w:space="0"/>
              <w:bottom w:val="single" w:color="auto" w:sz="4" w:space="0"/>
              <w:right w:val="single" w:color="auto" w:sz="4" w:space="0"/>
            </w:tcBorders>
            <w:noWrap/>
            <w:vAlign w:val="center"/>
          </w:tcPr>
          <w:p w14:paraId="6A84AC05">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抗磷脂综合征（APS）血栓复发预警难题，通过联合检测抗磷脂抗体谱与蛋白C、蛋白S活性，分析各指标的协同作用，筛选最佳预警标志物组合，在完成国产和进口主流品牌试剂性能的对比性研究的基础上，分析国产试剂与进口试剂性能的相关性。进一步为构建APS血栓风险管理模型的深度研究积累多层次数据信息。</w:t>
            </w:r>
          </w:p>
        </w:tc>
      </w:tr>
      <w:tr w14:paraId="2E96F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31876B42">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A26</w:t>
            </w:r>
          </w:p>
        </w:tc>
        <w:tc>
          <w:tcPr>
            <w:tcW w:w="2014" w:type="dxa"/>
            <w:tcBorders>
              <w:top w:val="single" w:color="auto" w:sz="4" w:space="0"/>
              <w:left w:val="single" w:color="auto" w:sz="4" w:space="0"/>
              <w:bottom w:val="single" w:color="auto" w:sz="4" w:space="0"/>
              <w:right w:val="single" w:color="auto" w:sz="4" w:space="0"/>
            </w:tcBorders>
            <w:noWrap/>
            <w:vAlign w:val="center"/>
          </w:tcPr>
          <w:p w14:paraId="685F06CE">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凝血：区域性血栓相关疾病中各类凝血项目不同平台的验证以及临床应用相关性研究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2077FAA6">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本研究聚焦南方少数民族区域血栓相关疾病，依托区域重点骨科实验室平台，开展对血栓性疾病，包括肿瘤，骨科，血液等多病种凝血指标的临床研究。借助区域不同检测平台，在完成相关检测项目的试剂性能评价（包括正确度、精密度、抗干扰性和两种平台的比对研究）的基础上，拓展临床实践中，不同疾病凝血指标在区域性疾病中的应用价值。为保障研究整体进度，要求研究用样本收集在9个月内完成。</w:t>
            </w:r>
          </w:p>
        </w:tc>
      </w:tr>
      <w:tr w14:paraId="02180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5B8F2FD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A27</w:t>
            </w:r>
          </w:p>
        </w:tc>
        <w:tc>
          <w:tcPr>
            <w:tcW w:w="2014" w:type="dxa"/>
            <w:tcBorders>
              <w:top w:val="single" w:color="auto" w:sz="4" w:space="0"/>
              <w:left w:val="single" w:color="auto" w:sz="4" w:space="0"/>
              <w:bottom w:val="single" w:color="auto" w:sz="4" w:space="0"/>
              <w:right w:val="single" w:color="auto" w:sz="4" w:space="0"/>
            </w:tcBorders>
            <w:noWrap/>
            <w:vAlign w:val="center"/>
          </w:tcPr>
          <w:p w14:paraId="602068A1">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凝血：基于抗</w:t>
            </w:r>
            <w:r>
              <w:rPr>
                <w:rFonts w:hint="default" w:ascii="Times New Roman" w:hAnsi="Times New Roman" w:cs="Times New Roman"/>
                <w:color w:val="000000" w:themeColor="text1"/>
                <w:sz w:val="24"/>
                <w:szCs w:val="24"/>
                <w14:textFill>
                  <w14:solidFill>
                    <w14:schemeClr w14:val="tx1"/>
                  </w14:solidFill>
                </w14:textFill>
              </w:rPr>
              <w:t>Ⅹ</w:t>
            </w:r>
            <w:r>
              <w:rPr>
                <w:rFonts w:hint="default" w:ascii="Times New Roman" w:hAnsi="Times New Roman" w:cs="Times New Roman"/>
                <w:iCs w:val="0"/>
                <w:color w:val="000000" w:themeColor="text1"/>
                <w:sz w:val="24"/>
                <w:szCs w:val="24"/>
                <w:lang w:bidi="ar"/>
                <w14:textFill>
                  <w14:solidFill>
                    <w14:schemeClr w14:val="tx1"/>
                  </w14:solidFill>
                </w14:textFill>
              </w:rPr>
              <w:t>a活性的肝病患者血栓与出血风险预测模型构建</w:t>
            </w:r>
          </w:p>
        </w:tc>
        <w:tc>
          <w:tcPr>
            <w:tcW w:w="5844" w:type="dxa"/>
            <w:tcBorders>
              <w:top w:val="single" w:color="auto" w:sz="4" w:space="0"/>
              <w:left w:val="single" w:color="auto" w:sz="4" w:space="0"/>
              <w:bottom w:val="single" w:color="auto" w:sz="4" w:space="0"/>
              <w:right w:val="single" w:color="auto" w:sz="4" w:space="0"/>
            </w:tcBorders>
            <w:noWrap/>
            <w:vAlign w:val="center"/>
          </w:tcPr>
          <w:p w14:paraId="7A165BA1">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本研究聚焦中医医院肝病诊治特色，拟通过前瞻性队列研究，依托国家中医临床肝病研究基地和既往肝病专病数据库及系统评估慢性肝炎、肝硬化及肝癌患者在未接受抗凝药物治疗状态下的基础抗</w:t>
            </w:r>
            <w:r>
              <w:rPr>
                <w:rFonts w:hint="default" w:ascii="Times New Roman" w:hAnsi="Times New Roman" w:cs="Times New Roman"/>
                <w:color w:val="000000" w:themeColor="text1"/>
                <w:sz w:val="24"/>
                <w:szCs w:val="24"/>
                <w14:textFill>
                  <w14:solidFill>
                    <w14:schemeClr w14:val="tx1"/>
                  </w14:solidFill>
                </w14:textFill>
              </w:rPr>
              <w:t>Ⅹ</w:t>
            </w:r>
            <w:r>
              <w:rPr>
                <w:rFonts w:hint="default" w:ascii="Times New Roman" w:hAnsi="Times New Roman" w:cs="Times New Roman"/>
                <w:iCs w:val="0"/>
                <w:color w:val="000000" w:themeColor="text1"/>
                <w:sz w:val="24"/>
                <w:szCs w:val="24"/>
                <w:lang w:bidi="ar"/>
                <w14:textFill>
                  <w14:solidFill>
                    <w14:schemeClr w14:val="tx1"/>
                  </w14:solidFill>
                </w14:textFill>
              </w:rPr>
              <w:t>a活性水平，探讨其在预测血栓及出血事件中的价值。要求研究用样本收集时间小于6个月。</w:t>
            </w:r>
          </w:p>
        </w:tc>
      </w:tr>
      <w:tr w14:paraId="44B9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3557D5A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A28</w:t>
            </w:r>
          </w:p>
        </w:tc>
        <w:tc>
          <w:tcPr>
            <w:tcW w:w="2014" w:type="dxa"/>
            <w:tcBorders>
              <w:top w:val="single" w:color="auto" w:sz="4" w:space="0"/>
              <w:left w:val="single" w:color="auto" w:sz="4" w:space="0"/>
              <w:bottom w:val="single" w:color="auto" w:sz="4" w:space="0"/>
              <w:right w:val="single" w:color="auto" w:sz="4" w:space="0"/>
            </w:tcBorders>
            <w:noWrap/>
            <w:vAlign w:val="center"/>
          </w:tcPr>
          <w:p w14:paraId="178978AE">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凝血：国产凝血与抗凝调节蛋白产学协同性能验证及其在妊娠期高血压疾病中的应用研究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5B6DD999">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高危妊娠相关凝血改变，依托孕产妇精准输血平台及年子痫前期患者不小于500例的数据背景，国产凝血相关试剂产品的性能验证，通过与进口主流品牌试剂性能的对比性研究，分析国产试剂与进口试剂性能的相关性，结合临床背景信息，观测PS、PC、凝血因子Ⅶ活性、凝血因子Ⅷ活性在妊娠期高血压疾病中的应用价值。为确保研究入组病例充足，申报单位年收治妊娠期高血压患者需不少于600例。要求研究用样本收集时间小于6个月。</w:t>
            </w:r>
          </w:p>
        </w:tc>
      </w:tr>
      <w:tr w14:paraId="6A245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69A4953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A29</w:t>
            </w:r>
          </w:p>
        </w:tc>
        <w:tc>
          <w:tcPr>
            <w:tcW w:w="2014" w:type="dxa"/>
            <w:tcBorders>
              <w:top w:val="single" w:color="auto" w:sz="4" w:space="0"/>
              <w:left w:val="single" w:color="auto" w:sz="4" w:space="0"/>
              <w:bottom w:val="single" w:color="auto" w:sz="4" w:space="0"/>
              <w:right w:val="single" w:color="auto" w:sz="4" w:space="0"/>
            </w:tcBorders>
            <w:noWrap/>
            <w:vAlign w:val="center"/>
          </w:tcPr>
          <w:p w14:paraId="64B4ACE7">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发光：国产骨代谢标志物系列检测试剂盒在多种代谢性骨病诊疗中的临床应用</w:t>
            </w:r>
          </w:p>
        </w:tc>
        <w:tc>
          <w:tcPr>
            <w:tcW w:w="5844" w:type="dxa"/>
            <w:tcBorders>
              <w:top w:val="single" w:color="auto" w:sz="4" w:space="0"/>
              <w:left w:val="single" w:color="auto" w:sz="4" w:space="0"/>
              <w:bottom w:val="single" w:color="auto" w:sz="4" w:space="0"/>
              <w:right w:val="single" w:color="auto" w:sz="4" w:space="0"/>
            </w:tcBorders>
            <w:noWrap/>
            <w:vAlign w:val="center"/>
          </w:tcPr>
          <w:p w14:paraId="26C7B444">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国产骨代谢标志物检测试剂的性能评估，通过与进口主流品牌、质谱平台进行比对研究，依托申报单位在骨科的学科优势，评估国产试剂的分析性能是否满足临床诊疗需求，探讨骨转换标志物、骨代谢调控激素在多种代谢性骨病诊疗中的临床应用价值以及与进口品牌试剂性能表现的相关性。要求研究用样本收集时间小于6个月。</w:t>
            </w:r>
          </w:p>
        </w:tc>
      </w:tr>
      <w:tr w14:paraId="22C2E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2ECC8A61">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A30</w:t>
            </w:r>
          </w:p>
        </w:tc>
        <w:tc>
          <w:tcPr>
            <w:tcW w:w="2014" w:type="dxa"/>
            <w:tcBorders>
              <w:top w:val="single" w:color="auto" w:sz="4" w:space="0"/>
              <w:left w:val="single" w:color="auto" w:sz="4" w:space="0"/>
              <w:bottom w:val="single" w:color="auto" w:sz="4" w:space="0"/>
              <w:right w:val="single" w:color="auto" w:sz="4" w:space="0"/>
            </w:tcBorders>
            <w:noWrap/>
            <w:vAlign w:val="center"/>
          </w:tcPr>
          <w:p w14:paraId="2105F303">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发光：食物相关不同免疫介导途径的临床真实世界研究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0058E2AB">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本研究拟通过在全国范围内入组10</w:t>
            </w:r>
            <w:r>
              <w:rPr>
                <w:rFonts w:hint="eastAsia" w:cs="Times New Roman"/>
                <w:iCs w:val="0"/>
                <w:color w:val="000000" w:themeColor="text1"/>
                <w:sz w:val="24"/>
                <w:szCs w:val="24"/>
                <w:lang w:val="en-US" w:eastAsia="zh-CN" w:bidi="ar"/>
                <w14:textFill>
                  <w14:solidFill>
                    <w14:schemeClr w14:val="tx1"/>
                  </w14:solidFill>
                </w14:textFill>
              </w:rPr>
              <w:t>~</w:t>
            </w:r>
            <w:r>
              <w:rPr>
                <w:rFonts w:hint="default" w:ascii="Times New Roman" w:hAnsi="Times New Roman" w:cs="Times New Roman"/>
                <w:iCs w:val="0"/>
                <w:color w:val="000000" w:themeColor="text1"/>
                <w:sz w:val="24"/>
                <w:szCs w:val="24"/>
                <w:lang w:bidi="ar"/>
                <w14:textFill>
                  <w14:solidFill>
                    <w14:schemeClr w14:val="tx1"/>
                  </w14:solidFill>
                </w14:textFill>
              </w:rPr>
              <w:t>20家机构（包括成人和儿童群体，总入组样本量不少于2000例），使用统一的化学发光定量检测平台，结合医院丰富的过敏数据库信息，同时进行食物特异性抗体（如IgG、IgE等）定量检测，对食物特异性抗体引起的食物慢性炎症患者进行2次调研问卷信息收集，分别获得刚入组时和3个月饮食调整后与临床症状，分析饮食建议遵从性和症状改善间的关系，从而进一步为食物特异性抗体检测的临床价值进行确认，为其循证医学提供证据。要求研究用样本收集时间小于6个月。</w:t>
            </w:r>
          </w:p>
        </w:tc>
      </w:tr>
      <w:tr w14:paraId="1F5B1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61DB6E8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A31</w:t>
            </w:r>
          </w:p>
        </w:tc>
        <w:tc>
          <w:tcPr>
            <w:tcW w:w="2014" w:type="dxa"/>
            <w:tcBorders>
              <w:top w:val="single" w:color="auto" w:sz="4" w:space="0"/>
              <w:left w:val="single" w:color="auto" w:sz="4" w:space="0"/>
              <w:bottom w:val="single" w:color="auto" w:sz="4" w:space="0"/>
              <w:right w:val="single" w:color="auto" w:sz="4" w:space="0"/>
            </w:tcBorders>
            <w:noWrap/>
            <w:vAlign w:val="center"/>
          </w:tcPr>
          <w:p w14:paraId="26B4FBC2">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发光：脓毒血症关键生物标志物检测标准化与联合诊断预测模型的建立及应用研究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68CA45D6">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依托申报单位在急危重症的学科，整合医院脓毒症实验室风险评分指标数据库优势，聚焦急诊/ICU重症感染患者，围绕凝血标志物——新血栓四项（TAT、PIC、TM、tPAI.C）和炎症标志物——PCT、IL-6等两大类指标，系统开展检测标准化、方法学评估及多指标联合应用研究。为保障研究整体进度，要求研究用样本收集时间小于6个月。</w:t>
            </w:r>
          </w:p>
        </w:tc>
      </w:tr>
      <w:tr w14:paraId="717546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1ABD88A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A32</w:t>
            </w:r>
          </w:p>
        </w:tc>
        <w:tc>
          <w:tcPr>
            <w:tcW w:w="2014" w:type="dxa"/>
            <w:tcBorders>
              <w:top w:val="single" w:color="auto" w:sz="4" w:space="0"/>
              <w:left w:val="single" w:color="auto" w:sz="4" w:space="0"/>
              <w:bottom w:val="single" w:color="auto" w:sz="4" w:space="0"/>
              <w:right w:val="single" w:color="auto" w:sz="4" w:space="0"/>
            </w:tcBorders>
            <w:noWrap/>
            <w:vAlign w:val="center"/>
          </w:tcPr>
          <w:p w14:paraId="7106D575">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发光：血栓四项在阿尔茨海默病发展进程中的应用和机制研究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1E55F1D7">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依托申报单位在公共卫生研究及阿尔茨海默病诊疗相关优势，聚焦国产发光试剂产品的性能验证，通过与进口主流品牌试剂性能的对比性研究，分析国产试剂与进口试剂性能的相关性，结合阿尔茨海默病的临床背景信息，观测各个发光检测项目在疾病诊疗中的应用价值。要求研究用样本收集时间小于6个月。</w:t>
            </w:r>
          </w:p>
        </w:tc>
      </w:tr>
      <w:tr w14:paraId="2CB67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555CBE44">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A33</w:t>
            </w:r>
          </w:p>
        </w:tc>
        <w:tc>
          <w:tcPr>
            <w:tcW w:w="2014" w:type="dxa"/>
            <w:tcBorders>
              <w:top w:val="single" w:color="auto" w:sz="4" w:space="0"/>
              <w:left w:val="single" w:color="auto" w:sz="4" w:space="0"/>
              <w:bottom w:val="single" w:color="auto" w:sz="4" w:space="0"/>
              <w:right w:val="single" w:color="auto" w:sz="4" w:space="0"/>
            </w:tcBorders>
            <w:noWrap/>
            <w:vAlign w:val="center"/>
          </w:tcPr>
          <w:p w14:paraId="1B309058">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发光：多指标联合检测在炎症性肠病中的应用价值</w:t>
            </w:r>
          </w:p>
        </w:tc>
        <w:tc>
          <w:tcPr>
            <w:tcW w:w="5844" w:type="dxa"/>
            <w:tcBorders>
              <w:top w:val="single" w:color="auto" w:sz="4" w:space="0"/>
              <w:left w:val="single" w:color="auto" w:sz="4" w:space="0"/>
              <w:bottom w:val="single" w:color="auto" w:sz="4" w:space="0"/>
              <w:right w:val="single" w:color="auto" w:sz="4" w:space="0"/>
            </w:tcBorders>
            <w:noWrap/>
            <w:vAlign w:val="center"/>
          </w:tcPr>
          <w:p w14:paraId="58DF0B79">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探讨新型生物标志物联合检测策略在炎症性肠病（IBD）中的应用价值，依托年IBD不小于800例的随访队列基础，重点研究HBP、S100蛋白家族等指标的协同作用，旨在构建一种非侵入性、高敏感性和特异性的IBD诊断、病情评估及预后预测模型。要求研究用样本收集时间小于6个月。</w:t>
            </w:r>
          </w:p>
        </w:tc>
      </w:tr>
      <w:tr w14:paraId="7645F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790C5AA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A34</w:t>
            </w:r>
          </w:p>
        </w:tc>
        <w:tc>
          <w:tcPr>
            <w:tcW w:w="2014" w:type="dxa"/>
            <w:tcBorders>
              <w:top w:val="single" w:color="auto" w:sz="4" w:space="0"/>
              <w:left w:val="single" w:color="auto" w:sz="4" w:space="0"/>
              <w:bottom w:val="single" w:color="auto" w:sz="4" w:space="0"/>
              <w:right w:val="single" w:color="auto" w:sz="4" w:space="0"/>
            </w:tcBorders>
            <w:noWrap/>
            <w:vAlign w:val="center"/>
          </w:tcPr>
          <w:p w14:paraId="4F098CE7">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发光：基于性能验证的血栓四项（TAT, PIC, TM, tPAI.C）在住院患者VTE早期筛查与风险分层中的临床应用研究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56F97035">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聚焦中医医院住院患者中的VTE中、高风险人群，依托国家区域中医（专科）诊疗中心，通过探索基于性能验证的血栓四项</w:t>
            </w:r>
            <w:r>
              <w:rPr>
                <w:rFonts w:hint="eastAsia" w:cs="Times New Roman"/>
                <w:iCs w:val="0"/>
                <w:color w:val="000000" w:themeColor="text1"/>
                <w:sz w:val="24"/>
                <w:szCs w:val="24"/>
                <w:lang w:eastAsia="zh-CN" w:bidi="ar"/>
                <w14:textFill>
                  <w14:solidFill>
                    <w14:schemeClr w14:val="tx1"/>
                  </w14:solidFill>
                </w14:textFill>
              </w:rPr>
              <w:t>（</w:t>
            </w:r>
            <w:r>
              <w:rPr>
                <w:rFonts w:hint="default" w:ascii="Times New Roman" w:hAnsi="Times New Roman" w:cs="Times New Roman"/>
                <w:iCs w:val="0"/>
                <w:color w:val="000000" w:themeColor="text1"/>
                <w:sz w:val="24"/>
                <w:szCs w:val="24"/>
                <w:lang w:bidi="ar"/>
                <w14:textFill>
                  <w14:solidFill>
                    <w14:schemeClr w14:val="tx1"/>
                  </w14:solidFill>
                </w14:textFill>
              </w:rPr>
              <w:t>TAT、TM、PIC、tPAI.C</w:t>
            </w:r>
            <w:r>
              <w:rPr>
                <w:rFonts w:hint="eastAsia" w:cs="Times New Roman"/>
                <w:iCs w:val="0"/>
                <w:color w:val="000000" w:themeColor="text1"/>
                <w:sz w:val="24"/>
                <w:szCs w:val="24"/>
                <w:lang w:eastAsia="zh-CN" w:bidi="ar"/>
                <w14:textFill>
                  <w14:solidFill>
                    <w14:schemeClr w14:val="tx1"/>
                  </w14:solidFill>
                </w14:textFill>
              </w:rPr>
              <w:t>）</w:t>
            </w:r>
            <w:r>
              <w:rPr>
                <w:rFonts w:hint="default" w:ascii="Times New Roman" w:hAnsi="Times New Roman" w:cs="Times New Roman"/>
                <w:iCs w:val="0"/>
                <w:color w:val="000000" w:themeColor="text1"/>
                <w:sz w:val="24"/>
                <w:szCs w:val="24"/>
                <w:lang w:bidi="ar"/>
                <w14:textFill>
                  <w14:solidFill>
                    <w14:schemeClr w14:val="tx1"/>
                  </w14:solidFill>
                </w14:textFill>
              </w:rPr>
              <w:t>在VTE发生早期的诊断价值，联合机器学习算法构建住院患者VTE风险预测模型。旨在为医护人员快速评估识别VTE高危病人、及时采取针对性的干预措施提供参考工具。要求研究用样本收集时间小于6个月。</w:t>
            </w:r>
          </w:p>
        </w:tc>
      </w:tr>
      <w:tr w14:paraId="31D74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60E0A68C">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A35</w:t>
            </w:r>
          </w:p>
        </w:tc>
        <w:tc>
          <w:tcPr>
            <w:tcW w:w="2014" w:type="dxa"/>
            <w:tcBorders>
              <w:top w:val="single" w:color="auto" w:sz="4" w:space="0"/>
              <w:left w:val="single" w:color="auto" w:sz="4" w:space="0"/>
              <w:bottom w:val="single" w:color="auto" w:sz="4" w:space="0"/>
              <w:right w:val="single" w:color="auto" w:sz="4" w:space="0"/>
            </w:tcBorders>
            <w:noWrap/>
            <w:vAlign w:val="center"/>
          </w:tcPr>
          <w:p w14:paraId="01C1AC08">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发光：血栓四项、BNP、hs-cTnI联合心电图检查在急性冠脉综合征分层与转归多模态评估中的应用</w:t>
            </w:r>
          </w:p>
        </w:tc>
        <w:tc>
          <w:tcPr>
            <w:tcW w:w="5844" w:type="dxa"/>
            <w:tcBorders>
              <w:top w:val="single" w:color="auto" w:sz="4" w:space="0"/>
              <w:left w:val="single" w:color="auto" w:sz="4" w:space="0"/>
              <w:bottom w:val="single" w:color="auto" w:sz="4" w:space="0"/>
              <w:right w:val="single" w:color="auto" w:sz="4" w:space="0"/>
            </w:tcBorders>
            <w:noWrap/>
            <w:vAlign w:val="center"/>
          </w:tcPr>
          <w:p w14:paraId="359076A9">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项目拟整合凝血激活—心肌损伤—心功能—电生理全链条，构建ACS多模态评估系统，采取多中心研究形式，通过前瞻性收集西南地区急诊胸痛患者数据，建立ACS早期分层、预后预警和临床转归预测模型，主要解决现今常用的GRACE评分对ACS患者微血栓和心电风暴的预警盲区。要求研究用样本收集时间小于6个月。</w:t>
            </w:r>
          </w:p>
        </w:tc>
      </w:tr>
      <w:tr w14:paraId="3E4F2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3B397E6A">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A36</w:t>
            </w:r>
          </w:p>
        </w:tc>
        <w:tc>
          <w:tcPr>
            <w:tcW w:w="2014" w:type="dxa"/>
            <w:tcBorders>
              <w:top w:val="single" w:color="auto" w:sz="4" w:space="0"/>
              <w:left w:val="single" w:color="auto" w:sz="4" w:space="0"/>
              <w:bottom w:val="single" w:color="auto" w:sz="4" w:space="0"/>
              <w:right w:val="single" w:color="auto" w:sz="4" w:space="0"/>
            </w:tcBorders>
            <w:noWrap/>
            <w:vAlign w:val="center"/>
          </w:tcPr>
          <w:p w14:paraId="0E88F281">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发光：血浆组织型纤溶酶原激活剂-抑制剂复合物水平在急性心肌梗死患者中的相关性研究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66306DAC">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急性心肌梗死病人的凝血改变，依托申报单位门急诊胸痛中心专业检验配套临床团队在心血管疾病诊疗方面的优势，聚焦急性心肌梗死患者群体，研究血栓四项等指标与急性心肌梗死患者的临床结局之间的关联，进一步探讨血栓四项在急性心肌梗死中的应用价值。要求研究用样本收集时间小于6个月。</w:t>
            </w:r>
          </w:p>
        </w:tc>
      </w:tr>
      <w:tr w14:paraId="20B26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6704DEAD">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A37</w:t>
            </w:r>
          </w:p>
        </w:tc>
        <w:tc>
          <w:tcPr>
            <w:tcW w:w="2014" w:type="dxa"/>
            <w:tcBorders>
              <w:top w:val="single" w:color="auto" w:sz="4" w:space="0"/>
              <w:left w:val="single" w:color="auto" w:sz="4" w:space="0"/>
              <w:bottom w:val="single" w:color="auto" w:sz="4" w:space="0"/>
              <w:right w:val="single" w:color="auto" w:sz="4" w:space="0"/>
            </w:tcBorders>
            <w:noWrap/>
            <w:vAlign w:val="center"/>
          </w:tcPr>
          <w:p w14:paraId="378488B1">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发光：凝血酶-抗凝血酶Ⅲ复合物（TAT）、纤溶酶-α2纤溶酶抑制剂复合物（PIC）和血栓调节蛋白（TM）联合检测在骨肉瘤预后的应用研究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0DCB1A1D">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华南地区骨肉瘤患者群体，依托申报单位的肿瘤学相关国家重点实验室平台以及团队成员在肿瘤诊疗方面的优势，创新性研究TAT、PIC、TM等指标在骨肉瘤患者预后评估、临床结局预测等场景中的应用价值，对凝血功能障碍在骨肉瘤患者预后不良的作用机制进行初探。为确保样本顺利收集，要求申报团队有独立肿瘤样本库、骨肉瘤专科门诊，样本收集时间小于6个月。</w:t>
            </w:r>
          </w:p>
        </w:tc>
      </w:tr>
      <w:tr w14:paraId="6FB95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39F773CB">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A38</w:t>
            </w:r>
          </w:p>
        </w:tc>
        <w:tc>
          <w:tcPr>
            <w:tcW w:w="2014" w:type="dxa"/>
            <w:tcBorders>
              <w:top w:val="single" w:color="auto" w:sz="4" w:space="0"/>
              <w:left w:val="single" w:color="auto" w:sz="4" w:space="0"/>
              <w:bottom w:val="single" w:color="auto" w:sz="4" w:space="0"/>
              <w:right w:val="single" w:color="auto" w:sz="4" w:space="0"/>
            </w:tcBorders>
            <w:noWrap/>
            <w:vAlign w:val="center"/>
          </w:tcPr>
          <w:p w14:paraId="6B6CC430">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发光：基于DNA编码体系的胃癌细胞外囊泡蛋白-核酸与CA199联合检测新策略研究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3335C5A6">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围绕DNA编码技术在液体活检中的应用，拟建立一套高灵敏度、高特异性的检测体系，用于实现对胃癌患者血液中细胞外囊泡所携带的特定蛋白与核酸分子，以及常用肿瘤免疫标志物CA199的联合识别。通过与现有主流液体活检策略进行系统对照分析，全面评估该新型DNA编码体系在检测性能、特异性识别能力及临床适用性方面的潜力。进一步结合真实临床病例数据，探讨该平台在胃癌诊断与治疗过程中的应用前景和临床转化价值。要求申报团队具备开展细胞外囊泡相关研究所需的全流程软硬件条件，并且已建立胃癌临床队列，样本收集时间小于6个月。</w:t>
            </w:r>
          </w:p>
        </w:tc>
      </w:tr>
      <w:tr w14:paraId="23AEE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4D604138">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A39</w:t>
            </w:r>
          </w:p>
        </w:tc>
        <w:tc>
          <w:tcPr>
            <w:tcW w:w="2014" w:type="dxa"/>
            <w:tcBorders>
              <w:top w:val="single" w:color="auto" w:sz="4" w:space="0"/>
              <w:left w:val="single" w:color="auto" w:sz="4" w:space="0"/>
              <w:bottom w:val="single" w:color="auto" w:sz="4" w:space="0"/>
              <w:right w:val="single" w:color="auto" w:sz="4" w:space="0"/>
            </w:tcBorders>
            <w:noWrap/>
            <w:vAlign w:val="center"/>
          </w:tcPr>
          <w:p w14:paraId="6D6F5984">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发光：细胞外囊泡蛋白标志物联合PCT、CRP在脓毒症诊断及预后评估中的应用研究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355317EB">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依托申报单位丰富的脓毒症病例资源，聚焦脓毒症快速精准诊断的临床挑战，旨在探索细胞外囊泡（EVs）作为新型生物标志物的潜力。通过分离和鉴定脓毒症患者血浆中的特定细胞来源EVs，并分析其携带的关键蛋白，结合传统的感染标志物PCT和CRP，构建多指标联合诊断模型，以期提高脓毒症早期识别的敏感性和特异性，实现患者的精准分层，并评估其对治疗反应和预后判断的价值。要求申报团队具备开展细胞外囊泡相关研究所需的全流程软硬件条件，样本收集时间小于6个月。</w:t>
            </w:r>
          </w:p>
        </w:tc>
      </w:tr>
      <w:tr w14:paraId="36429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7CD123E2">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A40</w:t>
            </w:r>
          </w:p>
        </w:tc>
        <w:tc>
          <w:tcPr>
            <w:tcW w:w="2014" w:type="dxa"/>
            <w:tcBorders>
              <w:top w:val="single" w:color="auto" w:sz="4" w:space="0"/>
              <w:left w:val="single" w:color="auto" w:sz="4" w:space="0"/>
              <w:bottom w:val="single" w:color="auto" w:sz="4" w:space="0"/>
              <w:right w:val="single" w:color="auto" w:sz="4" w:space="0"/>
            </w:tcBorders>
            <w:noWrap/>
            <w:vAlign w:val="center"/>
          </w:tcPr>
          <w:p w14:paraId="6BDC9867">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发光：基于深度学习的浆膜腔积液细胞形态学-肿瘤标志物多模态融合诊断模型构建及应用研究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440BAEB2">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浆膜腔积液（胸、腹水等）中良性反应性细胞与恶性肿瘤细胞的鉴别诊断是细胞学领域的“灰色地带”，主观性强，且单一肿瘤标志物（如CEA）的辅助价值有限。本方向旨在利用申请方独有的、大规模、高质量的浆膜腔积液细胞学图谱数据库，开发基于深度学习的人工智能（AI）诊断模型，实现对细胞形态的精准、量化分析。进而，将AI形态学特征与多种血清/积液中的肿瘤标志物进行多模态数据融合，构建一个全新的、高精度的恶性积液智能诊断与溯源辅助决策系统。要求申报团队已具备不少于5000例以上诊断明确、信息完整的浆膜腔积液细胞学图片或数字档案，样本收集时间小于6个月。</w:t>
            </w:r>
          </w:p>
        </w:tc>
      </w:tr>
      <w:tr w14:paraId="231BE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2C151969">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A41</w:t>
            </w:r>
          </w:p>
        </w:tc>
        <w:tc>
          <w:tcPr>
            <w:tcW w:w="2014" w:type="dxa"/>
            <w:tcBorders>
              <w:top w:val="single" w:color="auto" w:sz="4" w:space="0"/>
              <w:left w:val="single" w:color="auto" w:sz="4" w:space="0"/>
              <w:bottom w:val="single" w:color="auto" w:sz="4" w:space="0"/>
              <w:right w:val="single" w:color="auto" w:sz="4" w:space="0"/>
            </w:tcBorders>
            <w:noWrap/>
            <w:vAlign w:val="center"/>
          </w:tcPr>
          <w:p w14:paraId="1A8CD5EE">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血型：直接抗人球蛋白试验阳性强度对患者溶血程度的影响研究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413C8AD9">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利用微柱凝胶抗人球蛋白法对大于3000例直抗阳性标本进行免疫分型，将被IgG或IgG+ C3 的标本进行放散试验</w:t>
            </w:r>
            <w:r>
              <w:rPr>
                <w:rFonts w:hint="eastAsia" w:cs="Times New Roman"/>
                <w:iCs w:val="0"/>
                <w:color w:val="000000" w:themeColor="text1"/>
                <w:sz w:val="24"/>
                <w:szCs w:val="24"/>
                <w:lang w:eastAsia="zh-CN" w:bidi="ar"/>
                <w14:textFill>
                  <w14:solidFill>
                    <w14:schemeClr w14:val="tx1"/>
                  </w14:solidFill>
                </w14:textFill>
              </w:rPr>
              <w:t>，</w:t>
            </w:r>
            <w:r>
              <w:rPr>
                <w:rFonts w:hint="default" w:ascii="Times New Roman" w:hAnsi="Times New Roman" w:cs="Times New Roman"/>
                <w:iCs w:val="0"/>
                <w:color w:val="000000" w:themeColor="text1"/>
                <w:sz w:val="24"/>
                <w:szCs w:val="24"/>
                <w:lang w:bidi="ar"/>
                <w14:textFill>
                  <w14:solidFill>
                    <w14:schemeClr w14:val="tx1"/>
                  </w14:solidFill>
                </w14:textFill>
              </w:rPr>
              <w:t>利用放散液与标准抗体筛查细胞进行间接抗人球蛋白试验</w:t>
            </w:r>
            <w:r>
              <w:rPr>
                <w:rFonts w:hint="eastAsia" w:cs="Times New Roman"/>
                <w:iCs w:val="0"/>
                <w:color w:val="000000" w:themeColor="text1"/>
                <w:sz w:val="24"/>
                <w:szCs w:val="24"/>
                <w:lang w:eastAsia="zh-CN" w:bidi="ar"/>
                <w14:textFill>
                  <w14:solidFill>
                    <w14:schemeClr w14:val="tx1"/>
                  </w14:solidFill>
                </w14:textFill>
              </w:rPr>
              <w:t>（</w:t>
            </w:r>
            <w:r>
              <w:rPr>
                <w:rFonts w:hint="default" w:ascii="Times New Roman" w:hAnsi="Times New Roman" w:cs="Times New Roman"/>
                <w:iCs w:val="0"/>
                <w:color w:val="000000" w:themeColor="text1"/>
                <w:sz w:val="24"/>
                <w:szCs w:val="24"/>
                <w:lang w:bidi="ar"/>
                <w14:textFill>
                  <w14:solidFill>
                    <w14:schemeClr w14:val="tx1"/>
                  </w14:solidFill>
                </w14:textFill>
              </w:rPr>
              <w:t>IAT</w:t>
            </w:r>
            <w:r>
              <w:rPr>
                <w:rFonts w:hint="eastAsia" w:cs="Times New Roman"/>
                <w:iCs w:val="0"/>
                <w:color w:val="000000" w:themeColor="text1"/>
                <w:sz w:val="24"/>
                <w:szCs w:val="24"/>
                <w:lang w:eastAsia="zh-CN" w:bidi="ar"/>
                <w14:textFill>
                  <w14:solidFill>
                    <w14:schemeClr w14:val="tx1"/>
                  </w14:solidFill>
                </w14:textFill>
              </w:rPr>
              <w:t>）</w:t>
            </w:r>
            <w:r>
              <w:rPr>
                <w:rFonts w:hint="default" w:ascii="Times New Roman" w:hAnsi="Times New Roman" w:cs="Times New Roman"/>
                <w:iCs w:val="0"/>
                <w:color w:val="000000" w:themeColor="text1"/>
                <w:sz w:val="24"/>
                <w:szCs w:val="24"/>
                <w:lang w:bidi="ar"/>
                <w14:textFill>
                  <w14:solidFill>
                    <w14:schemeClr w14:val="tx1"/>
                  </w14:solidFill>
                </w14:textFill>
              </w:rPr>
              <w:t>。结合患者临床溶血指标和症状等信息，观测不同强度、不同种类抗体致敏的直抗阳性患者的溶血程度，旨在探讨直接抗人球蛋白实验在不同疾病溶血检测中的应用价值。要求研究用样本收集时间小于6个月。</w:t>
            </w:r>
          </w:p>
        </w:tc>
      </w:tr>
      <w:tr w14:paraId="5067B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68B64C0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A42</w:t>
            </w:r>
          </w:p>
        </w:tc>
        <w:tc>
          <w:tcPr>
            <w:tcW w:w="2014" w:type="dxa"/>
            <w:tcBorders>
              <w:top w:val="single" w:color="auto" w:sz="4" w:space="0"/>
              <w:left w:val="single" w:color="auto" w:sz="4" w:space="0"/>
              <w:bottom w:val="single" w:color="auto" w:sz="4" w:space="0"/>
              <w:right w:val="single" w:color="auto" w:sz="4" w:space="0"/>
            </w:tcBorders>
            <w:noWrap/>
            <w:vAlign w:val="center"/>
          </w:tcPr>
          <w:p w14:paraId="15582A7D">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血型：红细胞相关药物抗体筛查试剂盒的研发及临床应用研究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2ABD30CF">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红细胞相关药物抗体实验室诊断难题，旨在研发一种包含核心质控品的检测试剂盒。该试剂盒以既往药物抗体诱导的溶血性贫血（DIHA）的研究基础为背景，基于微柱凝胶卡技术，通过提供可靠的阳性对照，解决现有方法在检测头孢类等药物抗体时存在的假阴性率高、结果判读无标准参照的问题，为临床疑似药物相关的溶血、输血无效及红细胞减少症提供关键的实验室诊断证据，提升其对临床决策的支持价值与标准化水平。要求研究用样本收集时间小于6个月。</w:t>
            </w:r>
          </w:p>
        </w:tc>
      </w:tr>
      <w:tr w14:paraId="131A9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22F571A5">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A43</w:t>
            </w:r>
          </w:p>
        </w:tc>
        <w:tc>
          <w:tcPr>
            <w:tcW w:w="2014" w:type="dxa"/>
            <w:tcBorders>
              <w:top w:val="single" w:color="auto" w:sz="4" w:space="0"/>
              <w:left w:val="single" w:color="auto" w:sz="4" w:space="0"/>
              <w:bottom w:val="single" w:color="auto" w:sz="4" w:space="0"/>
              <w:right w:val="single" w:color="auto" w:sz="4" w:space="0"/>
            </w:tcBorders>
            <w:noWrap/>
            <w:vAlign w:val="center"/>
          </w:tcPr>
          <w:p w14:paraId="061E2686">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生化/凝血：血管手术术后患者获得性易栓症流行病学调查及风险预测模型构建</w:t>
            </w:r>
          </w:p>
        </w:tc>
        <w:tc>
          <w:tcPr>
            <w:tcW w:w="5844" w:type="dxa"/>
            <w:tcBorders>
              <w:top w:val="single" w:color="auto" w:sz="4" w:space="0"/>
              <w:left w:val="single" w:color="auto" w:sz="4" w:space="0"/>
              <w:bottom w:val="single" w:color="auto" w:sz="4" w:space="0"/>
              <w:right w:val="single" w:color="auto" w:sz="4" w:space="0"/>
            </w:tcBorders>
            <w:noWrap/>
            <w:vAlign w:val="center"/>
          </w:tcPr>
          <w:p w14:paraId="572A13FD">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依托申报单位血管外科优势，前瞻性收集下肢深静脉血栓、肺栓塞、肠系膜静脉血栓、导管相关血栓、肌间静脉血栓等获得性易栓状态人群样本，系统分析上述人群中凝血、血管炎症等标志物变化趋势，调查血管手术术后患者获得性易栓症发生率，采用多因素回归分析，明确导致获得性易栓症的独立危险因素（如年龄、炎症和肝功能标志物水平、特定药物暴露、疾病活动度、导管放置时间等），构建风险预测模型。要求研究用样本收集时间小于6个月。</w:t>
            </w:r>
          </w:p>
        </w:tc>
      </w:tr>
      <w:tr w14:paraId="74F18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406A6636">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A44</w:t>
            </w:r>
          </w:p>
        </w:tc>
        <w:tc>
          <w:tcPr>
            <w:tcW w:w="2014" w:type="dxa"/>
            <w:tcBorders>
              <w:top w:val="single" w:color="auto" w:sz="4" w:space="0"/>
              <w:left w:val="single" w:color="auto" w:sz="4" w:space="0"/>
              <w:bottom w:val="single" w:color="auto" w:sz="4" w:space="0"/>
              <w:right w:val="single" w:color="auto" w:sz="4" w:space="0"/>
            </w:tcBorders>
            <w:noWrap/>
            <w:vAlign w:val="center"/>
          </w:tcPr>
          <w:p w14:paraId="5950C23D">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生化/凝血：基于临床常规检验数据的常见致盲性眼病筛查与监测体系构建</w:t>
            </w:r>
          </w:p>
        </w:tc>
        <w:tc>
          <w:tcPr>
            <w:tcW w:w="5844" w:type="dxa"/>
            <w:tcBorders>
              <w:top w:val="single" w:color="auto" w:sz="4" w:space="0"/>
              <w:left w:val="single" w:color="auto" w:sz="4" w:space="0"/>
              <w:bottom w:val="single" w:color="auto" w:sz="4" w:space="0"/>
              <w:right w:val="single" w:color="auto" w:sz="4" w:space="0"/>
            </w:tcBorders>
            <w:noWrap/>
            <w:vAlign w:val="center"/>
          </w:tcPr>
          <w:p w14:paraId="26BB8908">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聚焦致盲性眼病（如糖尿病视网膜病变、年龄相关性黄斑变性、高度近视并发症、青光眼、眼内淋巴瘤等）严重威胁人群视力健康这一重大公共卫生问题，实现致盲性眼病早期识别与长期监测尤为关键。由于临床常规检验（血常规、生化、发光、凝血等）数据覆盖面广、成本低廉，在人群健康体检和基层医疗机构中易于获取。因此，基于大规模临床常规检验数据，以国家级临床重点眼科学科及年门诊眼科量超过100万人次的样本来源为基础，结合流行病学和人工智能技术，构建一套面向常见致盲性眼病的筛查与监测体系，实现早期风险预测、进展评估及个体化管理。要求研究用样本收集时间小于6个月。</w:t>
            </w:r>
          </w:p>
        </w:tc>
      </w:tr>
      <w:tr w14:paraId="33CCB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0DD816B1">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A45</w:t>
            </w:r>
          </w:p>
        </w:tc>
        <w:tc>
          <w:tcPr>
            <w:tcW w:w="2014" w:type="dxa"/>
            <w:tcBorders>
              <w:top w:val="single" w:color="auto" w:sz="4" w:space="0"/>
              <w:left w:val="single" w:color="auto" w:sz="4" w:space="0"/>
              <w:bottom w:val="single" w:color="auto" w:sz="4" w:space="0"/>
              <w:right w:val="single" w:color="auto" w:sz="4" w:space="0"/>
            </w:tcBorders>
            <w:noWrap/>
            <w:vAlign w:val="center"/>
          </w:tcPr>
          <w:p w14:paraId="41733443">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生化/凝血/发光：血清学标志物联合评估在康复患者心—脑—血管多维功能预后及并发症预警中的应用研究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48F11E8E">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依托申报单位在康复、衰老等研究领域优势，利用康复特色生物样本库信息，聚焦脑—脊髓损伤、脑卒中后遗症等相关疾病康复期患者，探索颅神经—心肌—血管内皮多维度损伤标志物联合检测用于评估心/脑组织和血管内皮缺血、炎症状况及凝血风险的价值，分析各标志物水平动态变化与患者核心康复结局的相关性，并通过标志物水平变化预测早期开展康复干预是否可有效降低心—脑—血管系统性炎症及损伤，最终构建基于生物标志物、临床指标及康复评定的多维预后预测及并发症预警模型。要求研究用样本收集时间小于6个月。</w:t>
            </w:r>
          </w:p>
        </w:tc>
      </w:tr>
      <w:tr w14:paraId="6CF444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811" w:type="dxa"/>
            <w:tcBorders>
              <w:top w:val="single" w:color="auto" w:sz="4" w:space="0"/>
              <w:left w:val="single" w:color="auto" w:sz="4" w:space="0"/>
              <w:bottom w:val="single" w:color="auto" w:sz="4" w:space="0"/>
              <w:right w:val="single" w:color="auto" w:sz="4" w:space="0"/>
            </w:tcBorders>
            <w:vAlign w:val="center"/>
          </w:tcPr>
          <w:p w14:paraId="5CDD19DD">
            <w:pPr>
              <w:keepNext w:val="0"/>
              <w:keepLines w:val="0"/>
              <w:pageBreakBefore w:val="0"/>
              <w:widowControl/>
              <w:kinsoku/>
              <w:wordWrap/>
              <w:overflowPunct/>
              <w:topLinePunct w:val="0"/>
              <w:autoSpaceDE/>
              <w:autoSpaceDN/>
              <w:bidi w:val="0"/>
              <w:adjustRightInd/>
              <w:snapToGrid/>
              <w:ind w:firstLine="0" w:firstLineChars="0"/>
              <w:jc w:val="center"/>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A46</w:t>
            </w:r>
          </w:p>
        </w:tc>
        <w:tc>
          <w:tcPr>
            <w:tcW w:w="2014" w:type="dxa"/>
            <w:tcBorders>
              <w:top w:val="single" w:color="auto" w:sz="4" w:space="0"/>
              <w:left w:val="single" w:color="auto" w:sz="4" w:space="0"/>
              <w:bottom w:val="single" w:color="auto" w:sz="4" w:space="0"/>
              <w:right w:val="single" w:color="auto" w:sz="4" w:space="0"/>
            </w:tcBorders>
            <w:noWrap/>
            <w:vAlign w:val="center"/>
          </w:tcPr>
          <w:p w14:paraId="0418B67A">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血型/凝血：建立北京地区产科相关献血者FⅦ、FⅧ、FIB等凝血因子抗原谱系及应用于精准输血的临床结局研究</w:t>
            </w:r>
          </w:p>
        </w:tc>
        <w:tc>
          <w:tcPr>
            <w:tcW w:w="5844" w:type="dxa"/>
            <w:tcBorders>
              <w:top w:val="single" w:color="auto" w:sz="4" w:space="0"/>
              <w:left w:val="single" w:color="auto" w:sz="4" w:space="0"/>
              <w:bottom w:val="single" w:color="auto" w:sz="4" w:space="0"/>
              <w:right w:val="single" w:color="auto" w:sz="4" w:space="0"/>
            </w:tcBorders>
            <w:noWrap/>
            <w:vAlign w:val="center"/>
          </w:tcPr>
          <w:p w14:paraId="254819A6">
            <w:pPr>
              <w:keepNext w:val="0"/>
              <w:keepLines w:val="0"/>
              <w:pageBreakBefore w:val="0"/>
              <w:widowControl/>
              <w:kinsoku/>
              <w:wordWrap/>
              <w:overflowPunct/>
              <w:topLinePunct w:val="0"/>
              <w:autoSpaceDE/>
              <w:autoSpaceDN/>
              <w:bidi w:val="0"/>
              <w:adjustRightInd/>
              <w:snapToGrid/>
              <w:ind w:firstLine="0" w:firstLineChars="0"/>
              <w:jc w:val="left"/>
              <w:textAlignment w:val="center"/>
              <w:rPr>
                <w:rFonts w:hint="default" w:ascii="Times New Roman" w:hAnsi="Times New Roman" w:cs="Times New Roman"/>
                <w:iCs w:val="0"/>
                <w:color w:val="000000" w:themeColor="text1"/>
                <w:sz w:val="24"/>
                <w:szCs w:val="24"/>
                <w:lang w:bidi="ar"/>
                <w14:textFill>
                  <w14:solidFill>
                    <w14:schemeClr w14:val="tx1"/>
                  </w14:solidFill>
                </w14:textFill>
              </w:rPr>
            </w:pPr>
            <w:r>
              <w:rPr>
                <w:rFonts w:hint="default" w:ascii="Times New Roman" w:hAnsi="Times New Roman" w:cs="Times New Roman"/>
                <w:iCs w:val="0"/>
                <w:color w:val="000000" w:themeColor="text1"/>
                <w:sz w:val="24"/>
                <w:szCs w:val="24"/>
                <w:lang w:bidi="ar"/>
                <w14:textFill>
                  <w14:solidFill>
                    <w14:schemeClr w14:val="tx1"/>
                  </w14:solidFill>
                </w14:textFill>
              </w:rPr>
              <w:t>本研究拟通过检测1000名北京地区献血者新鲜冰冻血浆样本，首次建立FⅦ、FⅧ及FIB等关键凝血因子不同保存时间的抗原水平地域性数据库。在此基础上，追踪输注了特征明确血液的产科患者的临床结局，旨在评价献血者凝血因子谱系差异变化，以及对受血者止血疗效与血栓发生风险的影响，为实施精准输血、提升输血安全提供直接依据。要求研究用样本收集时间小于6个月。</w:t>
            </w:r>
          </w:p>
        </w:tc>
      </w:tr>
    </w:tbl>
    <w:p w14:paraId="1006519D">
      <w:pPr>
        <w:spacing w:before="0" w:after="0" w:line="440" w:lineRule="exact"/>
        <w:ind w:firstLine="0" w:firstLineChars="0"/>
        <w:rPr>
          <w:rFonts w:ascii="Times New Roman" w:hAnsi="Times New Roman"/>
          <w:color w:val="auto"/>
          <w:sz w:val="24"/>
          <w:szCs w:val="24"/>
        </w:rPr>
      </w:pPr>
    </w:p>
    <w:p w14:paraId="208C95D9">
      <w:pPr>
        <w:spacing w:before="0" w:after="0" w:line="360" w:lineRule="auto"/>
        <w:ind w:firstLine="560" w:firstLineChars="200"/>
        <w:rPr>
          <w:rFonts w:ascii="Times New Roman" w:hAnsi="Times New Roman"/>
          <w:color w:val="auto"/>
          <w:sz w:val="24"/>
          <w:szCs w:val="24"/>
        </w:rPr>
      </w:pPr>
      <w:r>
        <w:rPr>
          <w:rFonts w:hint="eastAsia"/>
          <w:color w:val="auto"/>
          <w:sz w:val="28"/>
          <w:szCs w:val="28"/>
          <w:lang w:eastAsia="zh-CN"/>
        </w:rPr>
        <w:t>（</w:t>
      </w:r>
      <w:r>
        <w:rPr>
          <w:rFonts w:hint="eastAsia"/>
          <w:color w:val="auto"/>
          <w:sz w:val="28"/>
          <w:szCs w:val="28"/>
          <w:lang w:val="en-US" w:eastAsia="zh-CN"/>
        </w:rPr>
        <w:t>2</w:t>
      </w:r>
      <w:r>
        <w:rPr>
          <w:rFonts w:hint="eastAsia"/>
          <w:color w:val="auto"/>
          <w:sz w:val="28"/>
          <w:szCs w:val="28"/>
          <w:lang w:eastAsia="zh-CN"/>
        </w:rPr>
        <w:t>）</w:t>
      </w:r>
      <w:r>
        <w:rPr>
          <w:rFonts w:hint="default" w:ascii="Times New Roman" w:hAnsi="Times New Roman"/>
          <w:color w:val="auto"/>
          <w:sz w:val="28"/>
          <w:szCs w:val="28"/>
        </w:rPr>
        <w:t>自主课题：根据自身的条件和区域特点，融合技术创新，申请院校从表二中选择课题</w:t>
      </w:r>
      <w:r>
        <w:rPr>
          <w:rFonts w:hint="eastAsia"/>
          <w:color w:val="auto"/>
          <w:sz w:val="28"/>
          <w:szCs w:val="28"/>
          <w:lang w:val="en-US" w:eastAsia="zh-CN"/>
        </w:rPr>
        <w:t>方向</w:t>
      </w:r>
      <w:r>
        <w:rPr>
          <w:rFonts w:hint="default" w:ascii="Times New Roman" w:hAnsi="Times New Roman"/>
          <w:color w:val="auto"/>
          <w:sz w:val="28"/>
          <w:szCs w:val="28"/>
        </w:rPr>
        <w:t>进行申报</w:t>
      </w:r>
      <w:r>
        <w:rPr>
          <w:rFonts w:hint="eastAsia"/>
          <w:color w:val="auto"/>
          <w:sz w:val="28"/>
          <w:szCs w:val="28"/>
          <w:lang w:eastAsia="zh-CN"/>
        </w:rPr>
        <w:t>，</w:t>
      </w:r>
      <w:r>
        <w:rPr>
          <w:rFonts w:hint="default" w:ascii="Times New Roman" w:hAnsi="Times New Roman"/>
          <w:color w:val="auto"/>
          <w:sz w:val="28"/>
          <w:szCs w:val="28"/>
        </w:rPr>
        <w:t>要求基于本</w:t>
      </w:r>
      <w:r>
        <w:rPr>
          <w:rFonts w:ascii="Times New Roman" w:hAnsi="Times New Roman"/>
          <w:color w:val="auto"/>
          <w:sz w:val="28"/>
          <w:szCs w:val="28"/>
        </w:rPr>
        <w:t>专项</w:t>
      </w:r>
      <w:r>
        <w:rPr>
          <w:rFonts w:hint="default" w:ascii="Times New Roman" w:hAnsi="Times New Roman"/>
          <w:color w:val="auto"/>
          <w:sz w:val="28"/>
          <w:szCs w:val="28"/>
        </w:rPr>
        <w:t>提供的试剂和设备平台（见表三）进行研究。</w:t>
      </w:r>
    </w:p>
    <w:p w14:paraId="0328667C">
      <w:pPr>
        <w:pStyle w:val="12"/>
        <w:spacing w:before="0" w:after="0" w:line="360" w:lineRule="auto"/>
        <w:ind w:left="0" w:firstLine="0" w:firstLineChars="0"/>
        <w:jc w:val="center"/>
        <w:rPr>
          <w:rFonts w:hint="default" w:ascii="Times New Roman" w:hAnsi="Times New Roman"/>
          <w:b/>
          <w:color w:val="auto"/>
          <w:sz w:val="28"/>
          <w:szCs w:val="28"/>
        </w:rPr>
      </w:pPr>
      <w:r>
        <w:rPr>
          <w:rFonts w:hint="default" w:ascii="Times New Roman" w:hAnsi="Times New Roman"/>
          <w:b/>
          <w:color w:val="auto"/>
          <w:sz w:val="28"/>
          <w:szCs w:val="28"/>
        </w:rPr>
        <w:t>表二 自主课题选题列表</w:t>
      </w:r>
    </w:p>
    <w:tbl>
      <w:tblPr>
        <w:tblStyle w:val="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0"/>
        <w:gridCol w:w="6009"/>
      </w:tblGrid>
      <w:tr w14:paraId="579E1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473" w:type="pct"/>
            <w:tcBorders>
              <w:top w:val="single" w:color="auto" w:sz="4" w:space="0"/>
              <w:left w:val="single" w:color="auto" w:sz="4" w:space="0"/>
              <w:bottom w:val="single" w:color="auto" w:sz="4" w:space="0"/>
              <w:right w:val="single" w:color="auto" w:sz="4" w:space="0"/>
            </w:tcBorders>
            <w:shd w:val="clear" w:color="auto" w:fill="BFBFBF"/>
            <w:vAlign w:val="center"/>
          </w:tcPr>
          <w:p w14:paraId="1D9AFA9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方向编号</w:t>
            </w:r>
          </w:p>
        </w:tc>
        <w:tc>
          <w:tcPr>
            <w:tcW w:w="3526" w:type="pct"/>
            <w:tcBorders>
              <w:top w:val="single" w:color="auto" w:sz="4" w:space="0"/>
              <w:left w:val="single" w:color="auto" w:sz="4" w:space="0"/>
              <w:bottom w:val="single" w:color="auto" w:sz="4" w:space="0"/>
              <w:right w:val="single" w:color="auto" w:sz="4" w:space="0"/>
            </w:tcBorders>
            <w:shd w:val="clear" w:color="auto" w:fill="BFBFBF"/>
            <w:vAlign w:val="center"/>
          </w:tcPr>
          <w:p w14:paraId="5D8BCF57">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hint="eastAsia" w:ascii="Times New Roman" w:hAnsi="Times New Roman" w:eastAsia="宋体" w:cs="Times New Roman"/>
                <w:b/>
                <w:color w:val="auto"/>
                <w:sz w:val="24"/>
                <w:szCs w:val="24"/>
                <w:lang w:val="en-US" w:eastAsia="zh-CN"/>
              </w:rPr>
            </w:pPr>
            <w:r>
              <w:rPr>
                <w:rFonts w:hint="default" w:ascii="Times New Roman" w:hAnsi="Times New Roman" w:cs="Times New Roman"/>
                <w:b/>
                <w:color w:val="auto"/>
                <w:sz w:val="24"/>
                <w:szCs w:val="24"/>
              </w:rPr>
              <w:t>课题</w:t>
            </w:r>
            <w:r>
              <w:rPr>
                <w:rFonts w:hint="eastAsia" w:cs="Times New Roman"/>
                <w:b/>
                <w:color w:val="auto"/>
                <w:sz w:val="24"/>
                <w:szCs w:val="24"/>
                <w:lang w:val="en-US" w:eastAsia="zh-CN"/>
              </w:rPr>
              <w:t>方向</w:t>
            </w:r>
          </w:p>
        </w:tc>
      </w:tr>
      <w:tr w14:paraId="40DB1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3" w:type="pct"/>
            <w:tcBorders>
              <w:top w:val="single" w:color="auto" w:sz="4" w:space="0"/>
              <w:left w:val="single" w:color="auto" w:sz="4" w:space="0"/>
              <w:bottom w:val="single" w:color="auto" w:sz="4" w:space="0"/>
              <w:right w:val="single" w:color="auto" w:sz="4" w:space="0"/>
            </w:tcBorders>
            <w:vAlign w:val="center"/>
          </w:tcPr>
          <w:p w14:paraId="66402B8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B01</w:t>
            </w:r>
          </w:p>
        </w:tc>
        <w:tc>
          <w:tcPr>
            <w:tcW w:w="3526" w:type="pct"/>
            <w:tcBorders>
              <w:top w:val="single" w:color="auto" w:sz="4" w:space="0"/>
              <w:left w:val="single" w:color="auto" w:sz="4" w:space="0"/>
              <w:bottom w:val="single" w:color="auto" w:sz="4" w:space="0"/>
              <w:right w:val="single" w:color="auto" w:sz="4" w:space="0"/>
            </w:tcBorders>
            <w:vAlign w:val="center"/>
          </w:tcPr>
          <w:p w14:paraId="46D3A7D9">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cs="Times New Roman"/>
                <w:color w:val="auto"/>
                <w:sz w:val="24"/>
                <w:szCs w:val="24"/>
              </w:rPr>
            </w:pPr>
            <w:r>
              <w:rPr>
                <w:rFonts w:hint="default" w:ascii="Times New Roman" w:hAnsi="Times New Roman" w:cs="Times New Roman"/>
                <w:iCs w:val="0"/>
                <w:sz w:val="24"/>
                <w:szCs w:val="24"/>
                <w:lang w:bidi="ar"/>
              </w:rPr>
              <w:t>凝血：</w:t>
            </w:r>
            <w:r>
              <w:rPr>
                <w:rFonts w:hint="default" w:ascii="Times New Roman" w:hAnsi="Times New Roman" w:cs="Times New Roman"/>
                <w:color w:val="auto"/>
                <w:sz w:val="24"/>
                <w:szCs w:val="24"/>
              </w:rPr>
              <w:t>易栓症检测在各类疾病发展转归中的应用价值：聚焦不同疾病中易栓症检测的应用价值，重点围绕中医，骨科，不孕不育，血栓性微血管病，通过队列性研究，逐步探索AT-Ⅲ、PC、PS在临床血栓相关评分中的应用价值。</w:t>
            </w:r>
          </w:p>
        </w:tc>
      </w:tr>
      <w:tr w14:paraId="23AC5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3" w:type="pct"/>
            <w:tcBorders>
              <w:top w:val="single" w:color="auto" w:sz="4" w:space="0"/>
              <w:left w:val="single" w:color="auto" w:sz="4" w:space="0"/>
              <w:bottom w:val="single" w:color="auto" w:sz="4" w:space="0"/>
              <w:right w:val="single" w:color="auto" w:sz="4" w:space="0"/>
            </w:tcBorders>
            <w:vAlign w:val="center"/>
          </w:tcPr>
          <w:p w14:paraId="2F426F52">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B02</w:t>
            </w:r>
          </w:p>
        </w:tc>
        <w:tc>
          <w:tcPr>
            <w:tcW w:w="3526" w:type="pct"/>
            <w:tcBorders>
              <w:top w:val="single" w:color="auto" w:sz="4" w:space="0"/>
              <w:left w:val="single" w:color="auto" w:sz="4" w:space="0"/>
              <w:bottom w:val="single" w:color="auto" w:sz="4" w:space="0"/>
              <w:right w:val="single" w:color="auto" w:sz="4" w:space="0"/>
            </w:tcBorders>
            <w:vAlign w:val="center"/>
          </w:tcPr>
          <w:p w14:paraId="22B56339">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cs="Times New Roman"/>
                <w:color w:val="auto"/>
                <w:sz w:val="24"/>
                <w:szCs w:val="24"/>
              </w:rPr>
            </w:pPr>
            <w:r>
              <w:rPr>
                <w:rFonts w:hint="default" w:ascii="Times New Roman" w:hAnsi="Times New Roman" w:cs="Times New Roman"/>
                <w:iCs w:val="0"/>
                <w:sz w:val="24"/>
                <w:szCs w:val="24"/>
                <w:lang w:bidi="ar"/>
              </w:rPr>
              <w:t>凝血：</w:t>
            </w:r>
            <w:r>
              <w:rPr>
                <w:rFonts w:hint="default" w:ascii="Times New Roman" w:hAnsi="Times New Roman" w:cs="Times New Roman"/>
                <w:color w:val="auto"/>
                <w:sz w:val="24"/>
                <w:szCs w:val="24"/>
              </w:rPr>
              <w:t>自身免疫性疾病凝血状态的研究：聚焦狼疮性疾病，APS疾病诊断，治疗过程中各类凝血指标的持续变化情况，结合肝素类和沙班类药物监测，综合分析自身免疫相关性疾病整体的凝血状态诊疗的数据变化，为更多临床应用积累数据基础。</w:t>
            </w:r>
          </w:p>
        </w:tc>
      </w:tr>
      <w:tr w14:paraId="011B0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3" w:type="pct"/>
            <w:tcBorders>
              <w:top w:val="single" w:color="auto" w:sz="4" w:space="0"/>
              <w:left w:val="single" w:color="auto" w:sz="4" w:space="0"/>
              <w:bottom w:val="single" w:color="auto" w:sz="4" w:space="0"/>
              <w:right w:val="single" w:color="auto" w:sz="4" w:space="0"/>
            </w:tcBorders>
            <w:vAlign w:val="center"/>
          </w:tcPr>
          <w:p w14:paraId="24C56C9B">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B03</w:t>
            </w:r>
          </w:p>
        </w:tc>
        <w:tc>
          <w:tcPr>
            <w:tcW w:w="3526" w:type="pct"/>
            <w:tcBorders>
              <w:top w:val="single" w:color="auto" w:sz="4" w:space="0"/>
              <w:left w:val="single" w:color="auto" w:sz="4" w:space="0"/>
              <w:bottom w:val="single" w:color="auto" w:sz="4" w:space="0"/>
              <w:right w:val="single" w:color="auto" w:sz="4" w:space="0"/>
            </w:tcBorders>
            <w:vAlign w:val="center"/>
          </w:tcPr>
          <w:p w14:paraId="44E4303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生化/发光：炎症性指标在不同疾病中的应用价值：聚焦各类炎症指标在不同疾病发展转归中的应用价值，重点围绕HBP、sST2，KL-6等炎性指标在心血管，COPD以及糖尿病等多种常见疾病在不同级别医院诊疗中的实际应用价值，逐步建立不同层别的医学数据信息储备库。</w:t>
            </w:r>
          </w:p>
        </w:tc>
      </w:tr>
      <w:tr w14:paraId="5B12B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73" w:type="pct"/>
            <w:tcBorders>
              <w:top w:val="single" w:color="auto" w:sz="4" w:space="0"/>
              <w:left w:val="single" w:color="auto" w:sz="4" w:space="0"/>
              <w:bottom w:val="single" w:color="auto" w:sz="4" w:space="0"/>
              <w:right w:val="single" w:color="auto" w:sz="4" w:space="0"/>
            </w:tcBorders>
            <w:vAlign w:val="center"/>
          </w:tcPr>
          <w:p w14:paraId="0571534B">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B04</w:t>
            </w:r>
          </w:p>
        </w:tc>
        <w:tc>
          <w:tcPr>
            <w:tcW w:w="3526" w:type="pct"/>
            <w:tcBorders>
              <w:top w:val="single" w:color="auto" w:sz="4" w:space="0"/>
              <w:left w:val="single" w:color="auto" w:sz="4" w:space="0"/>
              <w:bottom w:val="single" w:color="auto" w:sz="4" w:space="0"/>
              <w:right w:val="single" w:color="auto" w:sz="4" w:space="0"/>
            </w:tcBorders>
            <w:vAlign w:val="center"/>
          </w:tcPr>
          <w:p w14:paraId="679505F7">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生化：脂蛋白a标准物质协同开发：聚焦脂蛋白a项目溯源性水平及标准化不足的现状，协同研制满足临床应用的急需高端标准物质，并验证其检验效能。</w:t>
            </w:r>
          </w:p>
        </w:tc>
      </w:tr>
    </w:tbl>
    <w:p w14:paraId="54169361">
      <w:pPr>
        <w:spacing w:before="157" w:beforeLines="50" w:after="157" w:afterLines="50" w:line="360" w:lineRule="auto"/>
        <w:ind w:firstLine="643" w:firstLineChars="200"/>
        <w:rPr>
          <w:b/>
          <w:bCs/>
          <w:color w:val="auto"/>
          <w:sz w:val="32"/>
          <w:szCs w:val="32"/>
        </w:rPr>
      </w:pPr>
      <w:r>
        <w:rPr>
          <w:rFonts w:hint="default"/>
          <w:b/>
          <w:bCs/>
          <w:color w:val="auto"/>
          <w:sz w:val="32"/>
          <w:szCs w:val="32"/>
        </w:rPr>
        <w:t>二、申报条件和要求</w:t>
      </w:r>
    </w:p>
    <w:p w14:paraId="0120C702">
      <w:pPr>
        <w:spacing w:before="0" w:after="0" w:line="360" w:lineRule="auto"/>
        <w:ind w:firstLine="480"/>
        <w:rPr>
          <w:rFonts w:ascii="Times New Roman" w:hAnsi="Times New Roman"/>
          <w:sz w:val="28"/>
          <w:szCs w:val="28"/>
        </w:rPr>
      </w:pPr>
      <w:r>
        <w:rPr>
          <w:rFonts w:hint="default" w:ascii="Times New Roman" w:hAnsi="Times New Roman"/>
          <w:sz w:val="28"/>
          <w:szCs w:val="28"/>
        </w:rPr>
        <w:t>1. 申请人具有较强科研能力，能够独立开展研究和组织开展研究，对所申报课题已具有一定的研究基础，能够承担实质性研究工作；团队成员在选定的研究课题方向有较好的技术储备，包括与申报课题研究内容相关的研究成果、教材、论文、专利、获奖等。</w:t>
      </w:r>
    </w:p>
    <w:p w14:paraId="617F583D">
      <w:pPr>
        <w:spacing w:before="0" w:after="0" w:line="360" w:lineRule="auto"/>
        <w:ind w:firstLine="480"/>
        <w:rPr>
          <w:rFonts w:ascii="Times New Roman" w:hAnsi="Times New Roman"/>
          <w:sz w:val="28"/>
          <w:szCs w:val="28"/>
        </w:rPr>
      </w:pPr>
      <w:r>
        <w:rPr>
          <w:rFonts w:hint="default" w:ascii="Times New Roman" w:hAnsi="Times New Roman"/>
          <w:sz w:val="28"/>
          <w:szCs w:val="28"/>
        </w:rPr>
        <w:t>2. 团队组成合理，分工明确，</w:t>
      </w:r>
      <w:r>
        <w:rPr>
          <w:rFonts w:hint="eastAsia"/>
          <w:sz w:val="28"/>
          <w:szCs w:val="28"/>
          <w:lang w:val="en-US" w:eastAsia="zh-CN"/>
        </w:rPr>
        <w:t>成员</w:t>
      </w:r>
      <w:r>
        <w:rPr>
          <w:rFonts w:hint="default" w:ascii="Times New Roman" w:hAnsi="Times New Roman"/>
          <w:sz w:val="28"/>
          <w:szCs w:val="28"/>
        </w:rPr>
        <w:t>不少于</w:t>
      </w:r>
      <w:r>
        <w:rPr>
          <w:rFonts w:hint="eastAsia"/>
          <w:sz w:val="28"/>
          <w:szCs w:val="28"/>
          <w:lang w:eastAsia="zh-CN"/>
        </w:rPr>
        <w:t>4</w:t>
      </w:r>
      <w:r>
        <w:rPr>
          <w:rFonts w:hint="default" w:ascii="Times New Roman" w:hAnsi="Times New Roman"/>
          <w:sz w:val="28"/>
          <w:szCs w:val="28"/>
        </w:rPr>
        <w:t>人。其中，硕士（含）以上研究生可以作为团队成员，但是不得多于教师的数量。课题组成员须征得本人同意并签字确认，否则视为违规申报。</w:t>
      </w:r>
    </w:p>
    <w:p w14:paraId="6D69050F">
      <w:pPr>
        <w:spacing w:before="0" w:after="0" w:line="360" w:lineRule="auto"/>
        <w:ind w:firstLine="480"/>
        <w:rPr>
          <w:rFonts w:ascii="Times New Roman" w:hAnsi="Times New Roman"/>
          <w:sz w:val="28"/>
          <w:szCs w:val="28"/>
        </w:rPr>
      </w:pPr>
      <w:r>
        <w:rPr>
          <w:rFonts w:hint="default" w:ascii="Times New Roman" w:hAnsi="Times New Roman"/>
          <w:sz w:val="28"/>
          <w:szCs w:val="28"/>
        </w:rPr>
        <w:t>3. 优先支持已经设立相关前沿专业/学科，或已经成立相关研究中心的院校。</w:t>
      </w:r>
    </w:p>
    <w:p w14:paraId="70F40124">
      <w:pPr>
        <w:spacing w:before="0" w:after="0" w:line="360" w:lineRule="auto"/>
        <w:ind w:firstLine="480"/>
        <w:rPr>
          <w:rFonts w:ascii="Times New Roman" w:hAnsi="Times New Roman"/>
          <w:sz w:val="28"/>
          <w:szCs w:val="28"/>
        </w:rPr>
      </w:pPr>
      <w:r>
        <w:rPr>
          <w:rFonts w:hint="default" w:ascii="Times New Roman" w:hAnsi="Times New Roman"/>
          <w:sz w:val="28"/>
          <w:szCs w:val="28"/>
        </w:rPr>
        <w:t>4. 优先支持选题方向符合</w:t>
      </w:r>
      <w:r>
        <w:rPr>
          <w:rFonts w:hint="eastAsia"/>
          <w:sz w:val="28"/>
          <w:szCs w:val="28"/>
          <w:lang w:val="en-US" w:eastAsia="zh-CN"/>
        </w:rPr>
        <w:t>固定选题方向（</w:t>
      </w:r>
      <w:r>
        <w:rPr>
          <w:rFonts w:hint="default" w:ascii="Times New Roman" w:hAnsi="Times New Roman"/>
          <w:sz w:val="28"/>
          <w:szCs w:val="28"/>
        </w:rPr>
        <w:t>表一</w:t>
      </w:r>
      <w:r>
        <w:rPr>
          <w:rFonts w:hint="eastAsia"/>
          <w:sz w:val="28"/>
          <w:szCs w:val="28"/>
          <w:lang w:val="en-US" w:eastAsia="zh-CN"/>
        </w:rPr>
        <w:t>）</w:t>
      </w:r>
      <w:r>
        <w:rPr>
          <w:rFonts w:hint="default" w:ascii="Times New Roman" w:hAnsi="Times New Roman"/>
          <w:sz w:val="28"/>
          <w:szCs w:val="28"/>
        </w:rPr>
        <w:t>要求的课题</w:t>
      </w:r>
      <w:r>
        <w:rPr>
          <w:rFonts w:hint="default" w:ascii="Times New Roman" w:hAnsi="Times New Roman"/>
          <w:color w:val="auto"/>
          <w:sz w:val="28"/>
          <w:szCs w:val="28"/>
        </w:rPr>
        <w:t>。</w:t>
      </w:r>
    </w:p>
    <w:p w14:paraId="5BDCA31C">
      <w:pPr>
        <w:spacing w:before="0" w:after="0" w:line="360" w:lineRule="auto"/>
        <w:ind w:firstLine="480"/>
        <w:rPr>
          <w:rFonts w:ascii="Times New Roman" w:hAnsi="Times New Roman"/>
          <w:sz w:val="28"/>
          <w:szCs w:val="28"/>
        </w:rPr>
      </w:pPr>
      <w:r>
        <w:rPr>
          <w:rFonts w:hint="default" w:ascii="Times New Roman" w:hAnsi="Times New Roman"/>
          <w:sz w:val="28"/>
          <w:szCs w:val="28"/>
        </w:rPr>
        <w:t>5. 优先支持研究内容有创造性、前瞻性和实用性，有商业化前景的课题。</w:t>
      </w:r>
    </w:p>
    <w:p w14:paraId="3A6A4BB4">
      <w:pPr>
        <w:spacing w:before="0" w:after="0" w:line="360" w:lineRule="auto"/>
        <w:ind w:firstLine="480"/>
        <w:rPr>
          <w:rFonts w:ascii="Times New Roman" w:hAnsi="Times New Roman"/>
          <w:sz w:val="28"/>
          <w:szCs w:val="28"/>
        </w:rPr>
      </w:pPr>
      <w:r>
        <w:rPr>
          <w:rFonts w:hint="default" w:ascii="Times New Roman" w:hAnsi="Times New Roman"/>
          <w:sz w:val="28"/>
          <w:szCs w:val="28"/>
        </w:rPr>
        <w:t>6.</w:t>
      </w:r>
      <w:r>
        <w:rPr>
          <w:rFonts w:ascii="Times New Roman" w:hAnsi="Times New Roman"/>
          <w:sz w:val="28"/>
          <w:szCs w:val="28"/>
        </w:rPr>
        <w:t xml:space="preserve"> </w:t>
      </w:r>
      <w:r>
        <w:rPr>
          <w:rFonts w:hint="default" w:ascii="Times New Roman" w:hAnsi="Times New Roman"/>
          <w:sz w:val="28"/>
          <w:szCs w:val="28"/>
        </w:rPr>
        <w:t>优先支持有既往研究数据或明确研究成果的项目，成果有应用价值，课题可复制、可推广，不支持纯理论研究。</w:t>
      </w:r>
    </w:p>
    <w:p w14:paraId="1AE70CC3">
      <w:pPr>
        <w:spacing w:before="0" w:after="0" w:line="360" w:lineRule="auto"/>
        <w:ind w:firstLine="480"/>
        <w:rPr>
          <w:rFonts w:ascii="Times New Roman" w:hAnsi="Times New Roman"/>
          <w:sz w:val="28"/>
          <w:szCs w:val="28"/>
        </w:rPr>
      </w:pPr>
      <w:r>
        <w:rPr>
          <w:rFonts w:hint="default" w:ascii="Times New Roman" w:hAnsi="Times New Roman"/>
          <w:sz w:val="28"/>
          <w:szCs w:val="28"/>
        </w:rPr>
        <w:t>7. 优先支持研究方向明确，研究内容</w:t>
      </w:r>
      <w:r>
        <w:rPr>
          <w:rFonts w:hint="default" w:ascii="Times New Roman" w:hAnsi="Times New Roman"/>
          <w:color w:val="auto"/>
          <w:sz w:val="28"/>
          <w:szCs w:val="28"/>
          <w:lang w:eastAsia="zh-CN"/>
        </w:rPr>
        <w:t>翔实</w:t>
      </w:r>
      <w:r>
        <w:rPr>
          <w:rFonts w:hint="default" w:ascii="Times New Roman" w:hAnsi="Times New Roman"/>
          <w:sz w:val="28"/>
          <w:szCs w:val="28"/>
        </w:rPr>
        <w:t>，研究方案完整可行的课题。</w:t>
      </w:r>
    </w:p>
    <w:p w14:paraId="2CE15C8C">
      <w:pPr>
        <w:spacing w:before="0" w:after="0" w:line="360" w:lineRule="auto"/>
        <w:ind w:firstLine="480"/>
        <w:rPr>
          <w:rFonts w:ascii="Times New Roman" w:hAnsi="Times New Roman"/>
          <w:sz w:val="28"/>
          <w:szCs w:val="28"/>
        </w:rPr>
      </w:pPr>
      <w:r>
        <w:rPr>
          <w:rFonts w:hint="default" w:ascii="Times New Roman" w:hAnsi="Times New Roman"/>
          <w:sz w:val="28"/>
          <w:szCs w:val="28"/>
        </w:rPr>
        <w:t>8. 优先支持院校对所申报课题有资金、政策、人员和场地等条件支持的课题。</w:t>
      </w:r>
    </w:p>
    <w:p w14:paraId="5CA83A2E">
      <w:pPr>
        <w:widowControl w:val="0"/>
        <w:spacing w:before="0" w:after="0" w:line="360" w:lineRule="auto"/>
        <w:ind w:firstLine="480"/>
        <w:rPr>
          <w:rFonts w:ascii="Times New Roman" w:hAnsi="Times New Roman"/>
          <w:sz w:val="28"/>
          <w:szCs w:val="28"/>
        </w:rPr>
      </w:pPr>
      <w:r>
        <w:rPr>
          <w:rFonts w:ascii="Times New Roman" w:hAnsi="Times New Roman"/>
          <w:sz w:val="28"/>
          <w:szCs w:val="28"/>
        </w:rPr>
        <w:t>9</w:t>
      </w:r>
      <w:r>
        <w:rPr>
          <w:rFonts w:hint="default" w:ascii="Times New Roman" w:hAnsi="Times New Roman"/>
          <w:sz w:val="28"/>
          <w:szCs w:val="28"/>
        </w:rPr>
        <w:t>.</w:t>
      </w:r>
      <w:r>
        <w:rPr>
          <w:rFonts w:hint="eastAsia"/>
          <w:sz w:val="28"/>
          <w:szCs w:val="28"/>
          <w:lang w:val="en-US" w:eastAsia="zh-CN"/>
        </w:rPr>
        <w:t xml:space="preserve"> </w:t>
      </w:r>
      <w:r>
        <w:rPr>
          <w:rFonts w:hint="default" w:ascii="Times New Roman" w:hAnsi="Times New Roman"/>
          <w:sz w:val="28"/>
          <w:szCs w:val="28"/>
        </w:rPr>
        <w:t>申请人应客观、真实地填写申请书，没有知识产权争议，遵守国家有关知识产权法规。在课题申请</w:t>
      </w:r>
      <w:r>
        <w:rPr>
          <w:rFonts w:ascii="Times New Roman" w:hAnsi="Times New Roman"/>
          <w:sz w:val="28"/>
          <w:szCs w:val="28"/>
        </w:rPr>
        <w:t>书</w:t>
      </w:r>
      <w:r>
        <w:rPr>
          <w:rFonts w:hint="default" w:ascii="Times New Roman" w:hAnsi="Times New Roman"/>
          <w:sz w:val="28"/>
          <w:szCs w:val="28"/>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如获立项即予撤项。</w:t>
      </w:r>
    </w:p>
    <w:p w14:paraId="3CCCCFF3">
      <w:pPr>
        <w:spacing w:before="0" w:after="0" w:line="360" w:lineRule="auto"/>
        <w:ind w:firstLine="480"/>
        <w:rPr>
          <w:rFonts w:ascii="Times New Roman" w:hAnsi="Times New Roman"/>
          <w:sz w:val="28"/>
          <w:szCs w:val="28"/>
        </w:rPr>
      </w:pPr>
      <w:r>
        <w:rPr>
          <w:rFonts w:hint="default" w:ascii="Times New Roman" w:hAnsi="Times New Roman"/>
          <w:sz w:val="28"/>
          <w:szCs w:val="28"/>
        </w:rPr>
        <w:t>1</w:t>
      </w:r>
      <w:r>
        <w:rPr>
          <w:rFonts w:ascii="Times New Roman" w:hAnsi="Times New Roman"/>
          <w:sz w:val="28"/>
          <w:szCs w:val="28"/>
        </w:rPr>
        <w:t>0</w:t>
      </w:r>
      <w:r>
        <w:rPr>
          <w:rFonts w:hint="default" w:ascii="Times New Roman" w:hAnsi="Times New Roman"/>
          <w:sz w:val="28"/>
          <w:szCs w:val="28"/>
        </w:rPr>
        <w:t>.</w:t>
      </w:r>
      <w:r>
        <w:rPr>
          <w:rFonts w:hint="eastAsia"/>
          <w:sz w:val="28"/>
          <w:szCs w:val="28"/>
          <w:lang w:val="en-US" w:eastAsia="zh-CN"/>
        </w:rPr>
        <w:t xml:space="preserve"> </w:t>
      </w:r>
      <w:r>
        <w:rPr>
          <w:rFonts w:hint="default" w:ascii="Times New Roman" w:hAnsi="Times New Roman" w:cs="Times New Roman"/>
          <w:color w:val="auto"/>
          <w:sz w:val="28"/>
          <w:szCs w:val="28"/>
          <w:lang w:val="zh-TW" w:eastAsia="zh-TW"/>
        </w:rPr>
        <w:t>在项目开展过程中，</w:t>
      </w:r>
      <w:r>
        <w:rPr>
          <w:rFonts w:hint="default" w:ascii="Times New Roman" w:hAnsi="Times New Roman"/>
          <w:sz w:val="28"/>
          <w:szCs w:val="28"/>
        </w:rPr>
        <w:t>课题组</w:t>
      </w:r>
      <w:r>
        <w:rPr>
          <w:rFonts w:hint="default" w:ascii="Times New Roman" w:hAnsi="Times New Roman"/>
          <w:sz w:val="28"/>
          <w:szCs w:val="28"/>
          <w:lang w:eastAsia="zh-CN"/>
        </w:rPr>
        <w:t>须具备</w:t>
      </w:r>
      <w:r>
        <w:rPr>
          <w:rFonts w:hint="default" w:ascii="Times New Roman" w:hAnsi="Times New Roman"/>
          <w:sz w:val="28"/>
          <w:szCs w:val="28"/>
        </w:rPr>
        <w:t>可独立支配的课题研究基础软硬件条件。</w:t>
      </w:r>
      <w:r>
        <w:rPr>
          <w:rFonts w:hint="default" w:ascii="Times New Roman" w:hAnsi="Times New Roman" w:cs="Times New Roman"/>
          <w:color w:val="auto"/>
          <w:sz w:val="28"/>
          <w:szCs w:val="28"/>
          <w:lang w:val="zh-TW" w:eastAsia="zh-TW"/>
        </w:rPr>
        <w:t>如需外部资源支持，须在项目申报书中明确指出</w:t>
      </w:r>
      <w:r>
        <w:rPr>
          <w:rFonts w:hint="default" w:ascii="Times New Roman" w:hAnsi="Times New Roman"/>
          <w:sz w:val="28"/>
          <w:szCs w:val="28"/>
        </w:rPr>
        <w:t>。</w:t>
      </w:r>
    </w:p>
    <w:p w14:paraId="185283EF">
      <w:pPr>
        <w:spacing w:before="157" w:beforeLines="50" w:after="157" w:afterLines="50" w:line="360" w:lineRule="auto"/>
        <w:ind w:firstLine="643" w:firstLineChars="200"/>
        <w:rPr>
          <w:rFonts w:hint="default"/>
          <w:b/>
          <w:bCs/>
          <w:color w:val="auto"/>
          <w:sz w:val="32"/>
          <w:szCs w:val="32"/>
        </w:rPr>
      </w:pPr>
      <w:r>
        <w:rPr>
          <w:rFonts w:hint="default"/>
          <w:b/>
          <w:bCs/>
          <w:color w:val="auto"/>
          <w:sz w:val="32"/>
          <w:szCs w:val="32"/>
        </w:rPr>
        <w:t>三、资源及服务</w:t>
      </w:r>
    </w:p>
    <w:p w14:paraId="309C1575">
      <w:pPr>
        <w:spacing w:before="0" w:after="0" w:line="360" w:lineRule="auto"/>
        <w:ind w:firstLine="480"/>
        <w:rPr>
          <w:rFonts w:ascii="Times New Roman" w:hAnsi="Times New Roman"/>
          <w:sz w:val="28"/>
          <w:szCs w:val="28"/>
        </w:rPr>
      </w:pPr>
      <w:r>
        <w:rPr>
          <w:rFonts w:hint="default" w:ascii="Times New Roman" w:hAnsi="Times New Roman"/>
          <w:sz w:val="28"/>
          <w:szCs w:val="28"/>
        </w:rPr>
        <w:t>“</w:t>
      </w:r>
      <w:r>
        <w:rPr>
          <w:rFonts w:hint="default" w:ascii="Times New Roman" w:hAnsi="Times New Roman"/>
          <w:color w:val="auto"/>
          <w:sz w:val="28"/>
          <w:szCs w:val="28"/>
        </w:rPr>
        <w:t>九强临床检验专项</w:t>
      </w:r>
      <w:r>
        <w:rPr>
          <w:rFonts w:hint="default" w:ascii="Times New Roman" w:hAnsi="Times New Roman"/>
          <w:sz w:val="28"/>
          <w:szCs w:val="28"/>
        </w:rPr>
        <w:t>”是以北京九强生物技术股份有限公司提供的科研平台（表三）为主要工具，以科学研究与实践创新研究为前提，以产业经济和医疗发展需求为导向，</w:t>
      </w:r>
      <w:r>
        <w:rPr>
          <w:rFonts w:hint="default" w:ascii="Times New Roman" w:hAnsi="Times New Roman"/>
          <w:color w:val="auto"/>
          <w:sz w:val="28"/>
          <w:szCs w:val="28"/>
        </w:rPr>
        <w:t>通过提供完善的资源和服务体系，保证入选合作院校顺利开展合作项目，并为院校在临床检验方向的科研及人才培养提供长期有效的支持。</w:t>
      </w:r>
    </w:p>
    <w:p w14:paraId="6EEFF4BB">
      <w:pPr>
        <w:numPr>
          <w:ilvl w:val="0"/>
          <w:numId w:val="5"/>
        </w:numPr>
        <w:spacing w:before="0" w:after="0" w:line="360" w:lineRule="auto"/>
        <w:ind w:firstLine="480"/>
        <w:rPr>
          <w:rFonts w:ascii="Times New Roman" w:hAnsi="Times New Roman"/>
          <w:color w:val="auto"/>
          <w:sz w:val="28"/>
          <w:szCs w:val="28"/>
        </w:rPr>
      </w:pPr>
      <w:r>
        <w:rPr>
          <w:rFonts w:ascii="Times New Roman" w:hAnsi="Times New Roman"/>
          <w:color w:val="auto"/>
          <w:sz w:val="28"/>
          <w:szCs w:val="28"/>
        </w:rPr>
        <w:t>“</w:t>
      </w:r>
      <w:r>
        <w:rPr>
          <w:rFonts w:hint="default" w:ascii="Times New Roman" w:hAnsi="Times New Roman"/>
          <w:color w:val="auto"/>
          <w:sz w:val="28"/>
          <w:szCs w:val="28"/>
        </w:rPr>
        <w:t>九强临床检验专项</w:t>
      </w:r>
      <w:r>
        <w:rPr>
          <w:rFonts w:ascii="Times New Roman" w:hAnsi="Times New Roman"/>
          <w:color w:val="auto"/>
          <w:sz w:val="28"/>
          <w:szCs w:val="28"/>
        </w:rPr>
        <w:t>”</w:t>
      </w:r>
      <w:r>
        <w:rPr>
          <w:rFonts w:hint="default" w:ascii="Times New Roman" w:hAnsi="Times New Roman"/>
          <w:color w:val="auto"/>
          <w:sz w:val="28"/>
          <w:szCs w:val="28"/>
        </w:rPr>
        <w:t>为每个立项课题提供对应的经费支持与</w:t>
      </w:r>
      <w:r>
        <w:rPr>
          <w:rFonts w:hint="eastAsia"/>
          <w:color w:val="auto"/>
          <w:sz w:val="28"/>
          <w:szCs w:val="28"/>
          <w:lang w:val="en-US" w:eastAsia="zh-CN"/>
        </w:rPr>
        <w:t>技术</w:t>
      </w:r>
      <w:r>
        <w:rPr>
          <w:rFonts w:hint="default" w:ascii="Times New Roman" w:hAnsi="Times New Roman"/>
          <w:color w:val="auto"/>
          <w:sz w:val="28"/>
          <w:szCs w:val="28"/>
        </w:rPr>
        <w:t>服务支持，根据需求开展服务校方等工作。</w:t>
      </w:r>
    </w:p>
    <w:p w14:paraId="068C91DD">
      <w:pPr>
        <w:numPr>
          <w:ilvl w:val="0"/>
          <w:numId w:val="5"/>
        </w:numPr>
        <w:spacing w:before="0" w:after="0" w:line="360" w:lineRule="auto"/>
        <w:ind w:firstLine="480"/>
        <w:rPr>
          <w:rFonts w:ascii="Times New Roman" w:hAnsi="Times New Roman"/>
          <w:color w:val="auto"/>
          <w:sz w:val="28"/>
          <w:szCs w:val="28"/>
        </w:rPr>
      </w:pPr>
      <w:r>
        <w:rPr>
          <w:rFonts w:hint="default" w:ascii="Times New Roman" w:hAnsi="Times New Roman"/>
          <w:color w:val="auto"/>
          <w:sz w:val="28"/>
          <w:szCs w:val="28"/>
        </w:rPr>
        <w:t>项目发起单位将辅助、联合院校申报新的科研课题，提供项目咨询服务和技术支持，辅助科研</w:t>
      </w:r>
      <w:r>
        <w:rPr>
          <w:rFonts w:hint="eastAsia"/>
          <w:color w:val="auto"/>
          <w:sz w:val="28"/>
          <w:szCs w:val="28"/>
          <w:lang w:val="en-US" w:eastAsia="zh-CN"/>
        </w:rPr>
        <w:t>项目</w:t>
      </w:r>
      <w:r>
        <w:rPr>
          <w:rFonts w:hint="default" w:ascii="Times New Roman" w:hAnsi="Times New Roman"/>
          <w:color w:val="auto"/>
          <w:sz w:val="28"/>
          <w:szCs w:val="28"/>
        </w:rPr>
        <w:t>解决方案的落地实行</w:t>
      </w:r>
      <w:r>
        <w:rPr>
          <w:rFonts w:hint="eastAsia"/>
          <w:color w:val="auto"/>
          <w:sz w:val="28"/>
          <w:szCs w:val="28"/>
          <w:lang w:val="en-US" w:eastAsia="zh-CN"/>
        </w:rPr>
        <w:t>和</w:t>
      </w:r>
      <w:r>
        <w:rPr>
          <w:rFonts w:hint="default" w:ascii="Times New Roman" w:hAnsi="Times New Roman"/>
          <w:color w:val="auto"/>
          <w:sz w:val="28"/>
          <w:szCs w:val="28"/>
        </w:rPr>
        <w:t>成果的快速产业化。</w:t>
      </w:r>
    </w:p>
    <w:p w14:paraId="59C47C5D">
      <w:pPr>
        <w:pStyle w:val="12"/>
        <w:spacing w:before="156" w:beforeLines="50" w:after="0" w:line="360" w:lineRule="auto"/>
        <w:ind w:left="0" w:firstLine="0" w:firstLineChars="0"/>
        <w:jc w:val="center"/>
        <w:rPr>
          <w:b/>
          <w:color w:val="auto"/>
          <w:sz w:val="28"/>
          <w:szCs w:val="28"/>
        </w:rPr>
      </w:pPr>
      <w:r>
        <w:rPr>
          <w:rFonts w:hint="eastAsia"/>
          <w:b/>
          <w:color w:val="auto"/>
          <w:sz w:val="28"/>
          <w:szCs w:val="28"/>
        </w:rPr>
        <w:t>表三 提供给课题研究的软硬件平台说明</w:t>
      </w:r>
    </w:p>
    <w:tbl>
      <w:tblPr>
        <w:tblStyle w:val="9"/>
        <w:tblW w:w="8902"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1292"/>
        <w:gridCol w:w="6865"/>
      </w:tblGrid>
      <w:tr w14:paraId="3EE5C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45" w:type="dxa"/>
            <w:shd w:val="clear" w:color="000000" w:fill="C0C0C0"/>
            <w:vAlign w:val="center"/>
          </w:tcPr>
          <w:p w14:paraId="7D35AA08">
            <w:pPr>
              <w:spacing w:before="0" w:after="0"/>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lang w:val="en-US" w:eastAsia="zh-CN"/>
                <w14:textFill>
                  <w14:solidFill>
                    <w14:schemeClr w14:val="tx1"/>
                  </w14:solidFill>
                </w14:textFill>
              </w:rPr>
              <w:t>序号</w:t>
            </w:r>
          </w:p>
        </w:tc>
        <w:tc>
          <w:tcPr>
            <w:tcW w:w="1292" w:type="dxa"/>
            <w:shd w:val="clear" w:color="000000" w:fill="C0C0C0"/>
            <w:vAlign w:val="center"/>
          </w:tcPr>
          <w:p w14:paraId="0EC8E228">
            <w:pPr>
              <w:spacing w:before="0" w:after="0"/>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名称</w:t>
            </w:r>
          </w:p>
        </w:tc>
        <w:tc>
          <w:tcPr>
            <w:tcW w:w="6865" w:type="dxa"/>
            <w:shd w:val="clear" w:color="000000" w:fill="C0C0C0"/>
            <w:vAlign w:val="center"/>
          </w:tcPr>
          <w:p w14:paraId="4B98C5B6">
            <w:pPr>
              <w:spacing w:before="0" w:after="0"/>
              <w:ind w:firstLine="0" w:firstLineChars="0"/>
              <w:jc w:val="center"/>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b/>
                <w:color w:val="000000" w:themeColor="text1"/>
                <w:sz w:val="24"/>
                <w:szCs w:val="24"/>
                <w14:textFill>
                  <w14:solidFill>
                    <w14:schemeClr w14:val="tx1"/>
                  </w14:solidFill>
                </w14:textFill>
              </w:rPr>
              <w:t>详细介绍</w:t>
            </w:r>
          </w:p>
        </w:tc>
      </w:tr>
      <w:tr w14:paraId="79705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trPr>
        <w:tc>
          <w:tcPr>
            <w:tcW w:w="745" w:type="dxa"/>
            <w:vAlign w:val="center"/>
          </w:tcPr>
          <w:p w14:paraId="0FCD75A2">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01</w:t>
            </w:r>
          </w:p>
        </w:tc>
        <w:tc>
          <w:tcPr>
            <w:tcW w:w="1292" w:type="dxa"/>
            <w:vAlign w:val="center"/>
          </w:tcPr>
          <w:p w14:paraId="5826769B">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全自动免疫组化染色机</w:t>
            </w:r>
          </w:p>
        </w:tc>
        <w:tc>
          <w:tcPr>
            <w:tcW w:w="6865" w:type="dxa"/>
            <w:vAlign w:val="center"/>
          </w:tcPr>
          <w:p w14:paraId="56A0FF55">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全自动免疫组化染色机主要由染色模块、机械臂、流体控制系统等核心部件组成，可实现在线IHC、双染、ICC、EBER、ISH的功能。该设备高度模拟手工操作，采用低压抗原修复、吹气延展法及湿盒孵育原理，确保染色结果的稳定性，基于精准控温系统和液路控制系统设计，可实现在线烤片、脱蜡、抗原修复、染色及复染的全自动处理功能，满足疑难指标对免疫组化染色的极高要求。</w:t>
            </w:r>
          </w:p>
        </w:tc>
      </w:tr>
      <w:tr w14:paraId="32987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3" w:hRule="atLeast"/>
        </w:trPr>
        <w:tc>
          <w:tcPr>
            <w:tcW w:w="745" w:type="dxa"/>
            <w:vAlign w:val="center"/>
          </w:tcPr>
          <w:p w14:paraId="65BB8777">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02</w:t>
            </w:r>
          </w:p>
        </w:tc>
        <w:tc>
          <w:tcPr>
            <w:tcW w:w="1292" w:type="dxa"/>
            <w:vAlign w:val="center"/>
          </w:tcPr>
          <w:p w14:paraId="6648CA1A">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DAB染色液（Titan super）</w:t>
            </w:r>
          </w:p>
        </w:tc>
        <w:tc>
          <w:tcPr>
            <w:tcW w:w="6865" w:type="dxa"/>
            <w:vAlign w:val="center"/>
          </w:tcPr>
          <w:p w14:paraId="117E3A8A">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DAB染色液包括二抗放大剂、聚合物、DAB显色剂，专用于全自动免疫组化染色机的染色，具有敏感性高、特异性好的特点。</w:t>
            </w:r>
          </w:p>
        </w:tc>
      </w:tr>
      <w:tr w14:paraId="26CE7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trPr>
        <w:tc>
          <w:tcPr>
            <w:tcW w:w="745" w:type="dxa"/>
            <w:vAlign w:val="center"/>
          </w:tcPr>
          <w:p w14:paraId="1D97F959">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03</w:t>
            </w:r>
          </w:p>
        </w:tc>
        <w:tc>
          <w:tcPr>
            <w:tcW w:w="1292" w:type="dxa"/>
            <w:vAlign w:val="center"/>
          </w:tcPr>
          <w:p w14:paraId="6A457E5B">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免疫显色试剂</w:t>
            </w:r>
          </w:p>
        </w:tc>
        <w:tc>
          <w:tcPr>
            <w:tcW w:w="6865" w:type="dxa"/>
            <w:vAlign w:val="center"/>
          </w:tcPr>
          <w:p w14:paraId="070D5DA7">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免疫显色试剂是一种免疫组化双染检测试剂盒，羊抗兔IgG采用碱性磷酸酶（AP）标记，对应显色剂为AP-Red，镜下为鲜红色。羊抗鼠IgG采用辣根过氧化物酶（HRP）标记，对应显色剂为DAB，镜下为棕褐色。临床意义为：该试剂盒可在同一张组织切片上显示多个标记，可提高病理医生诊断的准确性和效率。</w:t>
            </w:r>
          </w:p>
        </w:tc>
      </w:tr>
      <w:tr w14:paraId="76B31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atLeast"/>
        </w:trPr>
        <w:tc>
          <w:tcPr>
            <w:tcW w:w="745" w:type="dxa"/>
            <w:vAlign w:val="center"/>
          </w:tcPr>
          <w:p w14:paraId="596D8C6D">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04</w:t>
            </w:r>
          </w:p>
        </w:tc>
        <w:tc>
          <w:tcPr>
            <w:tcW w:w="1292" w:type="dxa"/>
            <w:vAlign w:val="center"/>
          </w:tcPr>
          <w:p w14:paraId="5AB1127B">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抗原修复液</w:t>
            </w:r>
          </w:p>
        </w:tc>
        <w:tc>
          <w:tcPr>
            <w:tcW w:w="6865" w:type="dxa"/>
            <w:vAlign w:val="center"/>
          </w:tcPr>
          <w:p w14:paraId="561ECD34">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抗原修复液是一种使病理组织切片中抗原决定簇重新暴露，从而可进行免疫组化染色的组织前处理液。临床意义：抗原修复液是免疫组化染色不可或缺的组织前处理液，为病理诊断提供技术保障。</w:t>
            </w:r>
          </w:p>
        </w:tc>
      </w:tr>
      <w:tr w14:paraId="2B5D8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745" w:type="dxa"/>
            <w:vAlign w:val="center"/>
          </w:tcPr>
          <w:p w14:paraId="4FE767D9">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05</w:t>
            </w:r>
          </w:p>
        </w:tc>
        <w:tc>
          <w:tcPr>
            <w:tcW w:w="1292" w:type="dxa"/>
            <w:vAlign w:val="center"/>
          </w:tcPr>
          <w:p w14:paraId="7B87C9F8">
            <w:pPr>
              <w:pStyle w:val="12"/>
              <w:spacing w:before="0" w:after="0"/>
              <w:ind w:left="0" w:firstLine="0" w:firstLineChars="0"/>
              <w:jc w:val="left"/>
              <w:rPr>
                <w:rFonts w:hint="default" w:ascii="Times New Roman" w:hAnsi="Times New Roman" w:cs="Times New Roman"/>
                <w:b/>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EBER（原位杂交法）</w:t>
            </w:r>
          </w:p>
          <w:p w14:paraId="235C1CA4">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p>
        </w:tc>
        <w:tc>
          <w:tcPr>
            <w:tcW w:w="6865" w:type="dxa"/>
            <w:vAlign w:val="center"/>
          </w:tcPr>
          <w:p w14:paraId="1FC388A3">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EBER检测试剂盒是一种通过原位杂交技术检测EB病毒（EBV）的试剂盒。通过检测，病理组织中有EB病毒感染的细胞在镜下显示棕褐色。临床意义：为临床EB病毒病理诊断提供依据。</w:t>
            </w:r>
          </w:p>
        </w:tc>
      </w:tr>
      <w:tr w14:paraId="025B0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5" w:type="dxa"/>
            <w:vAlign w:val="center"/>
          </w:tcPr>
          <w:p w14:paraId="3EE45961">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06</w:t>
            </w:r>
          </w:p>
        </w:tc>
        <w:tc>
          <w:tcPr>
            <w:tcW w:w="1292" w:type="dxa"/>
            <w:vAlign w:val="center"/>
          </w:tcPr>
          <w:p w14:paraId="5945A545">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Her-2</w:t>
            </w:r>
          </w:p>
        </w:tc>
        <w:tc>
          <w:tcPr>
            <w:tcW w:w="6865" w:type="dxa"/>
            <w:vAlign w:val="center"/>
          </w:tcPr>
          <w:p w14:paraId="5FE22966">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Her-2是一种酪氨酸激酶受体的跨膜蛋白，其基因活化可直接导致部分人体细胞恶变或恶变潜能增加。研究表明，Her-2基因扩增导致部分乳腺癌、胃肠道癌、卵巢癌、子宫内膜癌等肿瘤的发生。临床意义：用于乳腺癌、胃癌靶向药物治疗的靶点，Her-2免疫组化染色和原位杂交结果作为用靶向药的依据。</w:t>
            </w:r>
          </w:p>
        </w:tc>
      </w:tr>
      <w:tr w14:paraId="71B33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trPr>
        <w:tc>
          <w:tcPr>
            <w:tcW w:w="745" w:type="dxa"/>
            <w:vAlign w:val="center"/>
          </w:tcPr>
          <w:p w14:paraId="7902D118">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07</w:t>
            </w:r>
          </w:p>
        </w:tc>
        <w:tc>
          <w:tcPr>
            <w:tcW w:w="1292" w:type="dxa"/>
            <w:vAlign w:val="center"/>
          </w:tcPr>
          <w:p w14:paraId="7C1C7968">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FGFR2b</w:t>
            </w:r>
          </w:p>
        </w:tc>
        <w:tc>
          <w:tcPr>
            <w:tcW w:w="6865" w:type="dxa"/>
            <w:vAlign w:val="center"/>
          </w:tcPr>
          <w:p w14:paraId="6B6A8D14">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FGFR2b是酪氨酸激酶受体，在细胞的增殖、分化、血管生成、骨骼发育及生长和发育相关的进程中起着十分重要的作用。可用于胃癌、乳腺癌等癌种预后及相关靶向药物研究。</w:t>
            </w:r>
          </w:p>
        </w:tc>
      </w:tr>
      <w:tr w14:paraId="63BAA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5" w:type="dxa"/>
            <w:vAlign w:val="center"/>
          </w:tcPr>
          <w:p w14:paraId="02D22D9F">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08</w:t>
            </w:r>
          </w:p>
        </w:tc>
        <w:tc>
          <w:tcPr>
            <w:tcW w:w="1292" w:type="dxa"/>
            <w:vAlign w:val="center"/>
          </w:tcPr>
          <w:p w14:paraId="542CE209">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FRα</w:t>
            </w:r>
          </w:p>
        </w:tc>
        <w:tc>
          <w:tcPr>
            <w:tcW w:w="6865" w:type="dxa"/>
            <w:vAlign w:val="center"/>
          </w:tcPr>
          <w:p w14:paraId="58E852BB">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FRα是由FOLR1编码的分子量为38~40kDa的糖基磷脂酰基醇镶嵌在细胞表面的糖蛋白。FRα表达通常仅限于肺、肾和脉络丛中上皮细胞的顶端表面，但在多种实体瘤中过表达，如卵巢癌、非小细胞肺癌、乳腺癌、肾癌、结直肠癌和高级别骨肉瘤。</w:t>
            </w:r>
          </w:p>
        </w:tc>
      </w:tr>
      <w:tr w14:paraId="72EBC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0B1E41F5">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09</w:t>
            </w:r>
          </w:p>
        </w:tc>
        <w:tc>
          <w:tcPr>
            <w:tcW w:w="1292" w:type="dxa"/>
            <w:vAlign w:val="center"/>
          </w:tcPr>
          <w:p w14:paraId="22D518CA">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EP-CAM</w:t>
            </w:r>
          </w:p>
        </w:tc>
        <w:tc>
          <w:tcPr>
            <w:tcW w:w="6865" w:type="dxa"/>
            <w:vAlign w:val="center"/>
          </w:tcPr>
          <w:p w14:paraId="6424CD7B">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EP-CAM是一种细胞表面糖蛋白，表达于大多数正常和肿瘤性上皮细胞，而鳞状上皮和肝细胞不表达。在绝大多数腺癌，神经内分泌肿瘤中阳性表达；且上皮组织肿瘤多呈现高表达，非上皮组织肿瘤弱表达或不表达，</w:t>
            </w:r>
            <w:r>
              <w:rPr>
                <w:rFonts w:hint="eastAsia" w:cs="Times New Roman"/>
                <w:color w:val="000000" w:themeColor="text1"/>
                <w:sz w:val="24"/>
                <w:szCs w:val="24"/>
                <w:lang w:val="en-US" w:eastAsia="zh-CN"/>
                <w14:textFill>
                  <w14:solidFill>
                    <w14:schemeClr w14:val="tx1"/>
                  </w14:solidFill>
                </w14:textFill>
              </w:rPr>
              <w:t>部分</w:t>
            </w:r>
            <w:r>
              <w:rPr>
                <w:rFonts w:hint="default" w:ascii="Times New Roman" w:hAnsi="Times New Roman" w:cs="Times New Roman"/>
                <w:color w:val="000000" w:themeColor="text1"/>
                <w:sz w:val="24"/>
                <w:szCs w:val="24"/>
                <w14:textFill>
                  <w14:solidFill>
                    <w14:schemeClr w14:val="tx1"/>
                  </w14:solidFill>
                </w14:textFill>
              </w:rPr>
              <w:t>间充质肿瘤则仅显示弱阳性。可作为诊断上皮源性的肿瘤标记物，主要用于腺癌的诊断和腺癌及间皮瘤的鉴别诊断。</w:t>
            </w:r>
          </w:p>
        </w:tc>
      </w:tr>
      <w:tr w14:paraId="0D9B8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1" w:hRule="atLeast"/>
        </w:trPr>
        <w:tc>
          <w:tcPr>
            <w:tcW w:w="745" w:type="dxa"/>
            <w:vAlign w:val="center"/>
          </w:tcPr>
          <w:p w14:paraId="5A6BD7D7">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10</w:t>
            </w:r>
          </w:p>
        </w:tc>
        <w:tc>
          <w:tcPr>
            <w:tcW w:w="1292" w:type="dxa"/>
            <w:vAlign w:val="center"/>
          </w:tcPr>
          <w:p w14:paraId="76443D6D">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Ki-67</w:t>
            </w:r>
          </w:p>
        </w:tc>
        <w:tc>
          <w:tcPr>
            <w:tcW w:w="6865" w:type="dxa"/>
            <w:vAlign w:val="center"/>
          </w:tcPr>
          <w:p w14:paraId="32F57523">
            <w:pPr>
              <w:spacing w:before="0" w:after="0"/>
              <w:ind w:firstLine="0" w:firstLineChars="0"/>
              <w:jc w:val="left"/>
              <w:rPr>
                <w:rFonts w:hint="default" w:ascii="Times New Roman" w:hAnsi="Times New Roman" w:cs="Times New Roman"/>
                <w:color w:val="000000" w:themeColor="text1"/>
                <w:sz w:val="24"/>
                <w:szCs w:val="24"/>
                <w:highlight w:val="yellow"/>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Ki-67是增殖细胞相关蛋白，与核糖体RNA转录有关，在增殖细胞核中表达。目前被认为是较为理想的检测细胞增殖活性的指标之一。Ki-67可用于判断细胞的增殖指数，临床资料表明Ki-67增殖指数高低与许多肿瘤的分化进展、浸润、转移以及预后密切相关。可用于各种恶性肿瘤的标记物，作为预后的重要参考指标之一。</w:t>
            </w:r>
          </w:p>
        </w:tc>
      </w:tr>
      <w:tr w14:paraId="21D0D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21AFD8AE">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11</w:t>
            </w:r>
          </w:p>
        </w:tc>
        <w:tc>
          <w:tcPr>
            <w:tcW w:w="1292" w:type="dxa"/>
            <w:vAlign w:val="center"/>
          </w:tcPr>
          <w:p w14:paraId="7218473A">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新血脂四项</w:t>
            </w:r>
          </w:p>
        </w:tc>
        <w:tc>
          <w:tcPr>
            <w:tcW w:w="6865" w:type="dxa"/>
            <w:vAlign w:val="center"/>
          </w:tcPr>
          <w:p w14:paraId="287168DE">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“新血脂四项”包括CHO/TG/HDL-C/LDL-C，方法学分别为：GPO-PAP法/CHOD-PAP法/直接法-过氧化物酶清除法/直接法-表面活性剂清除法。</w:t>
            </w:r>
            <w:r>
              <w:rPr>
                <w:rFonts w:hint="eastAsia"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新血脂四项</w:t>
            </w:r>
            <w:r>
              <w:rPr>
                <w:rFonts w:hint="eastAsia"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选用的检测方法避免了既往方法在相关指标中的干扰问题，提高了检测结果的准确性，尤其降低了抗脂血干扰，能确保高脂血症、肝功异常及代谢紊乱患者测值的准确性。</w:t>
            </w:r>
          </w:p>
        </w:tc>
      </w:tr>
      <w:tr w14:paraId="23CDB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45" w:type="dxa"/>
            <w:vAlign w:val="center"/>
          </w:tcPr>
          <w:p w14:paraId="64ABAC27">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12</w:t>
            </w:r>
          </w:p>
        </w:tc>
        <w:tc>
          <w:tcPr>
            <w:tcW w:w="1292" w:type="dxa"/>
            <w:vAlign w:val="center"/>
          </w:tcPr>
          <w:p w14:paraId="28F83474">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总轻链</w:t>
            </w:r>
          </w:p>
        </w:tc>
        <w:tc>
          <w:tcPr>
            <w:tcW w:w="6865" w:type="dxa"/>
            <w:vAlign w:val="center"/>
          </w:tcPr>
          <w:p w14:paraId="55010947">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血清总轻链（κ和λ型）包含游离态及与重链结合的完整免疫球蛋白中的轻链组分。在浆细胞疾病中，单克隆增殖导致某型轻链过度合成，使κ/λ比值失衡。检测总轻链浓度及比值可辅助诊断完整免疫球蛋白型多发性骨髓瘤。总轻链试剂为免疫比浊法，适用于全自动生化分析仪。</w:t>
            </w:r>
          </w:p>
        </w:tc>
      </w:tr>
      <w:tr w14:paraId="2973B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trPr>
        <w:tc>
          <w:tcPr>
            <w:tcW w:w="745" w:type="dxa"/>
            <w:vAlign w:val="center"/>
          </w:tcPr>
          <w:p w14:paraId="2640A314">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13</w:t>
            </w:r>
          </w:p>
        </w:tc>
        <w:tc>
          <w:tcPr>
            <w:tcW w:w="1292" w:type="dxa"/>
            <w:vAlign w:val="center"/>
          </w:tcPr>
          <w:p w14:paraId="18BD0611">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游离轻链</w:t>
            </w:r>
          </w:p>
        </w:tc>
        <w:tc>
          <w:tcPr>
            <w:tcW w:w="6865" w:type="dxa"/>
            <w:vAlign w:val="center"/>
          </w:tcPr>
          <w:p w14:paraId="269E7ED0">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在浆细胞异常增殖疾病（如多发性骨髓瘤）中，单克隆浆细胞过度分泌单一型别的游离轻链，导致血清中游离轻链κ/λ比值异常。检测血清游离轻链浓度及比值对轻链型疾病的早期诊断、疗效监测和微小残留病灶评估具有核心价值，其灵敏度优于传统电泳，尤其对不分泌型骨髓瘤的诊断至关重要。游离轻链试剂为胶乳增强免疫比浊法，适用于全自动生化分析仪，试剂灵敏度高、特异性强、精密度、线性及抗干扰性能良好。</w:t>
            </w:r>
          </w:p>
        </w:tc>
      </w:tr>
      <w:tr w14:paraId="2889F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trPr>
        <w:tc>
          <w:tcPr>
            <w:tcW w:w="745" w:type="dxa"/>
            <w:vAlign w:val="center"/>
          </w:tcPr>
          <w:p w14:paraId="56C2A8F5">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14</w:t>
            </w:r>
          </w:p>
        </w:tc>
        <w:tc>
          <w:tcPr>
            <w:tcW w:w="1292" w:type="dxa"/>
            <w:vAlign w:val="center"/>
          </w:tcPr>
          <w:p w14:paraId="04D8964D">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肌酐（谷氨酸脱氢酶法）</w:t>
            </w:r>
          </w:p>
        </w:tc>
        <w:tc>
          <w:tcPr>
            <w:tcW w:w="6865" w:type="dxa"/>
            <w:vAlign w:val="center"/>
          </w:tcPr>
          <w:p w14:paraId="040AAC8B">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肌酐是肾功能检测最基础项目之一，用于各类型肾损伤性疾病的筛查、诊断、疗效监测及预后评估，因此其检测准确性十分重要。谷氨酸脱氢酶法检测肌酐过程中不会产生过氧化氢，因此样本中具有还原性的物质、药物将不会对该方法学产生负干扰影响；同时，低波长处检测吸光度变化可以避让胆红素和血红蛋白的主吸收峰，多方面确保特殊样本、用药患者肌酐检测的准确性。</w:t>
            </w:r>
          </w:p>
        </w:tc>
      </w:tr>
      <w:tr w14:paraId="509FF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5" w:hRule="atLeast"/>
        </w:trPr>
        <w:tc>
          <w:tcPr>
            <w:tcW w:w="745" w:type="dxa"/>
            <w:vAlign w:val="center"/>
          </w:tcPr>
          <w:p w14:paraId="4FB650ED">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15</w:t>
            </w:r>
          </w:p>
        </w:tc>
        <w:tc>
          <w:tcPr>
            <w:tcW w:w="1292" w:type="dxa"/>
            <w:vAlign w:val="center"/>
          </w:tcPr>
          <w:p w14:paraId="204B647F">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肝素结合蛋白</w:t>
            </w:r>
          </w:p>
        </w:tc>
        <w:tc>
          <w:tcPr>
            <w:tcW w:w="6865" w:type="dxa"/>
            <w:vAlign w:val="center"/>
          </w:tcPr>
          <w:p w14:paraId="075B3228">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肝素结合蛋白（HBP）具有杀菌作用，参与炎症和凝血过程调节。HBP是细菌感染最早升高的标志物，与PCT、 CRP、IL-6 等相比，血浆HBP的变化更早，在灵敏度、特异性、阳性和阴性检出率等方面显著优于其他感染指标，对临床细菌感染性疾病早期诊断和治疗具有重要指示意义。HBP为胶乳免疫比浊法和磁微粒化学发光法，适用于全自动生化分析仪和全自动化学发光分析仪。</w:t>
            </w:r>
          </w:p>
        </w:tc>
      </w:tr>
      <w:tr w14:paraId="65FD3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22CA67BE">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16</w:t>
            </w:r>
          </w:p>
        </w:tc>
        <w:tc>
          <w:tcPr>
            <w:tcW w:w="1292" w:type="dxa"/>
            <w:vAlign w:val="center"/>
          </w:tcPr>
          <w:p w14:paraId="49FA9F24">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胃蛋白酶原</w:t>
            </w:r>
          </w:p>
        </w:tc>
        <w:tc>
          <w:tcPr>
            <w:tcW w:w="6865" w:type="dxa"/>
            <w:vAlign w:val="center"/>
          </w:tcPr>
          <w:p w14:paraId="2EB80DFB">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胃蛋白酶原（PG）是胃蛋白酶前体，分为PGⅠ（由胃底腺分泌）和PGⅡ（全胃腺及十二指肠腺分泌）。血清PGⅠ水平及PGⅠ/PGⅡ比值（PGR）是无创胃功能筛查的核心指标：PGⅠ降低提示胃底腺萎缩，PGR下降对萎缩性胃炎诊断特异性达90%，联合幽门螺杆菌抗体可显著提升早期胃癌风险预警效能。PG为胶乳免疫比浊法和磁微粒化学发光法，适用于全自动生化分析仪和全自动化学发光分析仪。</w:t>
            </w:r>
          </w:p>
        </w:tc>
      </w:tr>
      <w:tr w14:paraId="40286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3D5625C8">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17</w:t>
            </w:r>
          </w:p>
        </w:tc>
        <w:tc>
          <w:tcPr>
            <w:tcW w:w="1292" w:type="dxa"/>
            <w:vAlign w:val="center"/>
          </w:tcPr>
          <w:p w14:paraId="2CF44DD6">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糖化白蛋白</w:t>
            </w:r>
          </w:p>
        </w:tc>
        <w:tc>
          <w:tcPr>
            <w:tcW w:w="6865" w:type="dxa"/>
            <w:vAlign w:val="center"/>
          </w:tcPr>
          <w:p w14:paraId="335ADEF6">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糖化白蛋白是血清白蛋白与葡萄糖的非酶促糖基化产物，反映近2</w:t>
            </w:r>
            <w:r>
              <w:rPr>
                <w:rFonts w:hint="eastAsia" w:cs="Times New Roman"/>
                <w:color w:val="000000" w:themeColor="text1"/>
                <w:sz w:val="24"/>
                <w:szCs w:val="24"/>
                <w:lang w:val="en-US"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3周平均血糖水平。相较糖化血红蛋白，糖化白蛋白对短期血糖波动更敏感（如妊娠糖尿病监测），且不受血红蛋白变异影响。液态酶法试剂准确度、精密度、线性及回收率等均良好，与高效液相色谱法相关性良好，适用于全自动生化分析仪。</w:t>
            </w:r>
          </w:p>
        </w:tc>
      </w:tr>
      <w:tr w14:paraId="24AF6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745" w:type="dxa"/>
            <w:vAlign w:val="center"/>
          </w:tcPr>
          <w:p w14:paraId="687E010F">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18</w:t>
            </w:r>
          </w:p>
        </w:tc>
        <w:tc>
          <w:tcPr>
            <w:tcW w:w="1292" w:type="dxa"/>
            <w:vAlign w:val="center"/>
          </w:tcPr>
          <w:p w14:paraId="44FB9B4E">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中性粒细胞明胶酶相关脂质运载蛋白</w:t>
            </w:r>
          </w:p>
        </w:tc>
        <w:tc>
          <w:tcPr>
            <w:tcW w:w="6865" w:type="dxa"/>
            <w:vAlign w:val="center"/>
          </w:tcPr>
          <w:p w14:paraId="0381C6AC">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中性粒细胞明胶酶相关脂质运载蛋白（NGAL）在肾小管上皮细胞受损后会大量分泌NGAL入尿。尿NGAL是诊断AKI最特异性标志物，可鉴别肾性急性肾损伤（AKI）和肾前性AKI，且是预后不良指标之一；也可用于诊断早期糖尿病肾病。</w:t>
            </w:r>
            <w:r>
              <w:rPr>
                <w:rFonts w:hint="default" w:ascii="Times New Roman" w:hAnsi="Times New Roman" w:cs="Times New Roman"/>
                <w:bCs/>
                <w:color w:val="000000" w:themeColor="text1"/>
                <w:sz w:val="24"/>
                <w:szCs w:val="24"/>
                <w14:textFill>
                  <w14:solidFill>
                    <w14:schemeClr w14:val="tx1"/>
                  </w14:solidFill>
                </w14:textFill>
              </w:rPr>
              <w:t>NGAL为</w:t>
            </w:r>
            <w:r>
              <w:rPr>
                <w:rFonts w:hint="default" w:ascii="Times New Roman" w:hAnsi="Times New Roman" w:cs="Times New Roman"/>
                <w:color w:val="000000" w:themeColor="text1"/>
                <w:sz w:val="24"/>
                <w:szCs w:val="24"/>
                <w14:textFill>
                  <w14:solidFill>
                    <w14:schemeClr w14:val="tx1"/>
                  </w14:solidFill>
                </w14:textFill>
              </w:rPr>
              <w:t>液体双试剂，采用胶乳免疫比浊法，适用于全自动生化分析仪，准确性、精密度好，线性宽。</w:t>
            </w:r>
          </w:p>
        </w:tc>
      </w:tr>
      <w:tr w14:paraId="26FD6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745" w:type="dxa"/>
            <w:vAlign w:val="center"/>
          </w:tcPr>
          <w:p w14:paraId="77C11F35">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19</w:t>
            </w:r>
          </w:p>
        </w:tc>
        <w:tc>
          <w:tcPr>
            <w:tcW w:w="1292" w:type="dxa"/>
            <w:vAlign w:val="center"/>
          </w:tcPr>
          <w:p w14:paraId="46D73F65">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胱抑素C</w:t>
            </w:r>
          </w:p>
        </w:tc>
        <w:tc>
          <w:tcPr>
            <w:tcW w:w="6865" w:type="dxa"/>
            <w:vAlign w:val="center"/>
          </w:tcPr>
          <w:p w14:paraId="4AA7EB5E">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胱抑素C（Cys C）在肾小管功能受损时，尿中浓度会明显升高，且不随昼夜节律干扰，可以选择随</w:t>
            </w:r>
            <w:r>
              <w:rPr>
                <w:rFonts w:hint="eastAsia" w:cs="Times New Roman"/>
                <w:color w:val="000000" w:themeColor="text1"/>
                <w:sz w:val="24"/>
                <w:szCs w:val="24"/>
                <w:lang w:val="en-US" w:eastAsia="zh-CN"/>
                <w14:textFill>
                  <w14:solidFill>
                    <w14:schemeClr w14:val="tx1"/>
                  </w14:solidFill>
                </w14:textFill>
              </w:rPr>
              <w:t>机</w:t>
            </w:r>
            <w:r>
              <w:rPr>
                <w:rFonts w:hint="default" w:ascii="Times New Roman" w:hAnsi="Times New Roman" w:cs="Times New Roman"/>
                <w:color w:val="000000" w:themeColor="text1"/>
                <w:sz w:val="24"/>
                <w:szCs w:val="24"/>
                <w14:textFill>
                  <w14:solidFill>
                    <w14:schemeClr w14:val="tx1"/>
                  </w14:solidFill>
                </w14:textFill>
              </w:rPr>
              <w:t>尿检测，具有方便、实用性强的优点，适合体检及危险人群进行早期肾功能筛查，检测尿中Cys C浓度是反映肾小管受损非常敏感的指标。Cys C为液体双试剂，采用胶乳免疫比浊法，性能稳定，可用于血清和尿液样本检测。</w:t>
            </w:r>
          </w:p>
        </w:tc>
      </w:tr>
      <w:tr w14:paraId="687B1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6197D161">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20</w:t>
            </w:r>
          </w:p>
        </w:tc>
        <w:tc>
          <w:tcPr>
            <w:tcW w:w="1292" w:type="dxa"/>
            <w:vAlign w:val="center"/>
          </w:tcPr>
          <w:p w14:paraId="1848594C">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脂蛋白相关磷脂酶A2</w:t>
            </w:r>
          </w:p>
        </w:tc>
        <w:tc>
          <w:tcPr>
            <w:tcW w:w="6865" w:type="dxa"/>
            <w:vAlign w:val="center"/>
          </w:tcPr>
          <w:p w14:paraId="2A967108">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脂蛋白相关磷脂酶A2（Lp-PLA2）是血管炎症高特异性标志物：在动脉粥样硬化的发生发展中具有重要的促进作用，Lp-PLA2水平增加可以提示心血管疾病风险性增加。反映粥样斑块的严重程度，鉴别良性、恶性斑块。Lp-PLA2检测能确定动脉粥样硬化性疾病的进程。通过监测Lp-PLA2水平的变化，可以了解发生动脉粥样硬化相关的心脑血管栓塞性疾病的风险，并及时采取预防和治疗措施。Lp-PLA2采用Lp-PLA2酶法，适用于全自动生化分析仪，准确性、精密度好。</w:t>
            </w:r>
          </w:p>
        </w:tc>
      </w:tr>
      <w:tr w14:paraId="794F6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544CF4EE">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21</w:t>
            </w:r>
          </w:p>
        </w:tc>
        <w:tc>
          <w:tcPr>
            <w:tcW w:w="1292" w:type="dxa"/>
            <w:vAlign w:val="center"/>
          </w:tcPr>
          <w:p w14:paraId="275D356A">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小而密低密度脂蛋白胆固醇</w:t>
            </w:r>
          </w:p>
        </w:tc>
        <w:tc>
          <w:tcPr>
            <w:tcW w:w="6865" w:type="dxa"/>
            <w:vAlign w:val="center"/>
          </w:tcPr>
          <w:p w14:paraId="3DD6ED03">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小而密低密度脂蛋白胆固醇（sdLDL-C）是低密度脂蛋白中致动脉粥样硬化的关键亚型，粒径＜25.5nm，易氧化沉积于血管壁。其水平升高可独立预测心血管事件风险，尤其适用于代谢综合征患者的精准风险评估。液体酶法试剂准确度、精密度、线性及回收率等均良好，适用于全自动生化分析仪。</w:t>
            </w:r>
          </w:p>
        </w:tc>
      </w:tr>
      <w:tr w14:paraId="12242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771D0096">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22</w:t>
            </w:r>
          </w:p>
        </w:tc>
        <w:tc>
          <w:tcPr>
            <w:tcW w:w="1292" w:type="dxa"/>
            <w:vAlign w:val="center"/>
          </w:tcPr>
          <w:p w14:paraId="2EAC6A36">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脂蛋白a</w:t>
            </w:r>
          </w:p>
        </w:tc>
        <w:tc>
          <w:tcPr>
            <w:tcW w:w="6865" w:type="dxa"/>
            <w:vAlign w:val="center"/>
          </w:tcPr>
          <w:p w14:paraId="27736CDD">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脂蛋白a是由载脂蛋白</w:t>
            </w:r>
            <w:r>
              <w:rPr>
                <w:rFonts w:hint="eastAsia"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a</w:t>
            </w:r>
            <w:r>
              <w:rPr>
                <w:rFonts w:hint="eastAsia"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与低密度脂蛋白共价结合的独特颗粒，其浓度主要由遗传决定，不受饮食或他汀类药物影响。血清脂蛋白a升高是动脉粥样硬化性心血管疾病的独立危险因子，显著增加心肌梗死、脑卒中及钙化性主动脉瓣狭窄风险。颗粒浓度检测试剂可量化脂蛋白a粒子总数，报告更准确地测量结果，更有利于风险评估和临床管理。</w:t>
            </w:r>
          </w:p>
        </w:tc>
      </w:tr>
      <w:tr w14:paraId="7766C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10CE2E5D">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23</w:t>
            </w:r>
          </w:p>
        </w:tc>
        <w:tc>
          <w:tcPr>
            <w:tcW w:w="1292" w:type="dxa"/>
            <w:vAlign w:val="center"/>
          </w:tcPr>
          <w:p w14:paraId="50D5530B">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免疫球蛋白G4</w:t>
            </w:r>
          </w:p>
        </w:tc>
        <w:tc>
          <w:tcPr>
            <w:tcW w:w="6865" w:type="dxa"/>
            <w:vAlign w:val="center"/>
          </w:tcPr>
          <w:p w14:paraId="22DF9BBF">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血清免疫球蛋白G4（IgG4）升高（</w:t>
            </w:r>
            <w:r>
              <w:rPr>
                <w:rFonts w:hint="eastAsia" w:cs="Times New Roman"/>
                <w:color w:val="000000" w:themeColor="text1"/>
                <w:sz w:val="24"/>
                <w:szCs w:val="24"/>
                <w:lang w:val="en-US"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1.35 g/L）是 IgG4相关疾病（IgG4-RD）的核心诊断标准，该病可累及胰腺、泪腺、腹膜等多器官，特征为肿瘤样病变伴纤维化。胶乳免疫比浊法IgG4检测试剂，成本散射比浊法和CLIA法更为低廉，适用市面主流全自动生化分析平台，临床回报时间更短、检测通量更高。</w:t>
            </w:r>
          </w:p>
        </w:tc>
      </w:tr>
      <w:tr w14:paraId="338A4C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3C8F5114">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24</w:t>
            </w:r>
          </w:p>
        </w:tc>
        <w:tc>
          <w:tcPr>
            <w:tcW w:w="1292" w:type="dxa"/>
            <w:vAlign w:val="center"/>
          </w:tcPr>
          <w:p w14:paraId="61264FD8">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25羟基维生素D</w:t>
            </w:r>
          </w:p>
        </w:tc>
        <w:tc>
          <w:tcPr>
            <w:tcW w:w="6865" w:type="dxa"/>
            <w:vAlign w:val="center"/>
          </w:tcPr>
          <w:p w14:paraId="15D1FAAC">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25羟基维生素D（25OHD）是评估维生素D营养状态的金标准，其浓度&lt;30 nmol/L提示维生素D缺乏，可导致佝偻病/骨软化症及继发性甲状旁腺功能亢进；30-50 nmol/L为不足，增加骨质疏松和跌倒风险。25OHD检测试剂为胶乳免疫比浊法和磁微粒化学发光法，适用于全自动生化分析仪和全自动化学发光分析仪。</w:t>
            </w:r>
          </w:p>
        </w:tc>
      </w:tr>
      <w:tr w14:paraId="32166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5BB36C7C">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25</w:t>
            </w:r>
          </w:p>
        </w:tc>
        <w:tc>
          <w:tcPr>
            <w:tcW w:w="1292" w:type="dxa"/>
            <w:vAlign w:val="center"/>
          </w:tcPr>
          <w:p w14:paraId="0D55C5B7">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凝血四项</w:t>
            </w:r>
          </w:p>
        </w:tc>
        <w:tc>
          <w:tcPr>
            <w:tcW w:w="6865" w:type="dxa"/>
            <w:vAlign w:val="center"/>
          </w:tcPr>
          <w:p w14:paraId="2E8EA9D7">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凝血四项（PT、APTT、FIB、TT）是评估凝血系统功能的核心筛查组合，是凝血功能障碍的“首诊雷达”，可提示内源、外源凝血通路异常。</w:t>
            </w:r>
          </w:p>
        </w:tc>
      </w:tr>
      <w:tr w14:paraId="5EFCD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745" w:type="dxa"/>
            <w:vAlign w:val="center"/>
          </w:tcPr>
          <w:p w14:paraId="202C12A0">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26</w:t>
            </w:r>
          </w:p>
        </w:tc>
        <w:tc>
          <w:tcPr>
            <w:tcW w:w="1292" w:type="dxa"/>
            <w:vAlign w:val="center"/>
          </w:tcPr>
          <w:p w14:paraId="55D3551F">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D-二聚体</w:t>
            </w:r>
          </w:p>
        </w:tc>
        <w:tc>
          <w:tcPr>
            <w:tcW w:w="6865" w:type="dxa"/>
            <w:vAlign w:val="center"/>
          </w:tcPr>
          <w:p w14:paraId="27756DAA">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D-二聚体（D-D）是确定体内有无血栓形成及继发性纤溶的指标。对于诊断与治疗纤溶系统疾病及与纤溶系统有关疾病，以及溶栓治疗监测，有着重要的意义。D-D阳性常见于：1、血栓性疾病，如肺栓塞（PE）、深静脉血栓（DVT）；2、继发性纤溶亢进症，如弥散性血管内凝血（DIC）；3、其他疾病，如肝硬化、严重感染、恶性肿瘤、妊娠等；是原发性与继发性纤溶亢进症鉴别指标，也用于溶栓治疗的监测。D-D为液体双试剂，采用胶乳免疫比浊法，适用于全自动生化分析仪。</w:t>
            </w:r>
          </w:p>
        </w:tc>
      </w:tr>
      <w:tr w14:paraId="33925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261F1180">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27</w:t>
            </w:r>
          </w:p>
        </w:tc>
        <w:tc>
          <w:tcPr>
            <w:tcW w:w="1292" w:type="dxa"/>
            <w:vAlign w:val="center"/>
          </w:tcPr>
          <w:p w14:paraId="10EF20D0">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 xml:space="preserve">抗凝血酶Ⅲ </w:t>
            </w:r>
          </w:p>
        </w:tc>
        <w:tc>
          <w:tcPr>
            <w:tcW w:w="6865" w:type="dxa"/>
            <w:vAlign w:val="center"/>
          </w:tcPr>
          <w:p w14:paraId="40CA7FB6">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抗凝血酶Ⅲ （AT-Ⅲ）可抑制凝血酶生成，具有强大的抗凝活性，可用于遗传性易栓症诊断、肝素抗凝评估、血栓早期诊断、疗效评估。AT-Ⅲ增高见于血友病甲和血友病乙及服药后等。AT-Ⅲ降低见于肝硬化、肝癌晚期伴发血栓形成。在肾病综合征，血栓前期和血栓性疾病均有异常。AT-Ⅲ采用发色底物法，试剂性能稳定，适用于多种检测设备。</w:t>
            </w:r>
          </w:p>
        </w:tc>
      </w:tr>
      <w:tr w14:paraId="7C834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0F8C66BF">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28</w:t>
            </w:r>
          </w:p>
        </w:tc>
        <w:tc>
          <w:tcPr>
            <w:tcW w:w="1292" w:type="dxa"/>
            <w:vAlign w:val="center"/>
          </w:tcPr>
          <w:p w14:paraId="184E58A0">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狼疮抗凝物</w:t>
            </w:r>
          </w:p>
        </w:tc>
        <w:tc>
          <w:tcPr>
            <w:tcW w:w="6865" w:type="dxa"/>
            <w:vAlign w:val="center"/>
          </w:tcPr>
          <w:p w14:paraId="10AA9E30">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狼疮抗凝物（LA）在多种自身免疫性疾病患者血液中存在。LA可干扰凝血或抗凝血反应，使体外测定PT、APTT延长。LA可用于不良妊娠的诊断，如不明原因的习惯性流产、死胎、胎儿发育迟滞等；血栓辅助指标的诊断，如脑梗塞、冠心病、高血压、动静脉栓塞等；用于自身免疫性疾病的筛查试验，如系统性红斑狼疮、类风湿关节炎、干燥综合征等。LA检测方法为凝固法，适用于市面主流全自动凝血分析仪。</w:t>
            </w:r>
          </w:p>
        </w:tc>
      </w:tr>
      <w:tr w14:paraId="22A15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745" w:type="dxa"/>
            <w:vAlign w:val="center"/>
          </w:tcPr>
          <w:p w14:paraId="52BE519D">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29</w:t>
            </w:r>
          </w:p>
        </w:tc>
        <w:tc>
          <w:tcPr>
            <w:tcW w:w="1292" w:type="dxa"/>
            <w:vAlign w:val="center"/>
          </w:tcPr>
          <w:p w14:paraId="6A4DC3AF">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抗Ⅹa</w:t>
            </w:r>
          </w:p>
        </w:tc>
        <w:tc>
          <w:tcPr>
            <w:tcW w:w="6865" w:type="dxa"/>
            <w:vAlign w:val="center"/>
          </w:tcPr>
          <w:p w14:paraId="4458EDA3">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FⅩa在人体凝血共同途径中发挥重要作用，是抗凝药物的作用靶点。通过对抗Ⅹa的检测，可更好地评判药物抑制FⅩa的效果，辅助定量测定人血浆中低分子量肝素</w:t>
            </w:r>
            <w:r>
              <w:rPr>
                <w:rFonts w:hint="eastAsia"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LMWH</w:t>
            </w:r>
            <w:r>
              <w:rPr>
                <w:rFonts w:hint="eastAsia"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的活性，评估药物抗凝效果和安全性。其临床意义在于对新型口服抗凝药物使用情况的监测，对普通肝素药物监测较APTT更精确、更高效；对特殊患者人群更为重要，如对幼儿、老人及孕妇等使用低分子肝素、磺达肝癸钠的用药监测。抗Ⅹa采用发色底物法，适用于主流机型。</w:t>
            </w:r>
          </w:p>
        </w:tc>
      </w:tr>
      <w:tr w14:paraId="570C0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745" w:type="dxa"/>
            <w:vAlign w:val="center"/>
          </w:tcPr>
          <w:p w14:paraId="219EA567">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30</w:t>
            </w:r>
          </w:p>
        </w:tc>
        <w:tc>
          <w:tcPr>
            <w:tcW w:w="1292" w:type="dxa"/>
            <w:vAlign w:val="center"/>
          </w:tcPr>
          <w:p w14:paraId="5E3C1863">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蛋白C/蛋白S</w:t>
            </w:r>
          </w:p>
        </w:tc>
        <w:tc>
          <w:tcPr>
            <w:tcW w:w="6865" w:type="dxa"/>
            <w:vAlign w:val="center"/>
          </w:tcPr>
          <w:p w14:paraId="4280821B">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蛋白C（PC）与蛋白S（PS）是维生素K依赖的天然抗凝蛋白，协同灭活凝血因子Ⅴa/Ⅷa。PC活性&lt;70%或PS活性&lt;60%可能由遗传性缺乏和获得性缺乏造成，往往提示血栓风险高度增加。PC、PS检测是易栓症病因诊断的核心依据，指导抗凝方案调整及家族筛查，适用于主流凝血分析仪。</w:t>
            </w:r>
          </w:p>
        </w:tc>
      </w:tr>
      <w:tr w14:paraId="5AB11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745" w:type="dxa"/>
            <w:vAlign w:val="center"/>
          </w:tcPr>
          <w:p w14:paraId="0486533E">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31</w:t>
            </w:r>
          </w:p>
        </w:tc>
        <w:tc>
          <w:tcPr>
            <w:tcW w:w="1292" w:type="dxa"/>
            <w:vAlign w:val="center"/>
          </w:tcPr>
          <w:p w14:paraId="303429CC">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血栓四项</w:t>
            </w:r>
          </w:p>
        </w:tc>
        <w:tc>
          <w:tcPr>
            <w:tcW w:w="6865" w:type="dxa"/>
            <w:vAlign w:val="center"/>
          </w:tcPr>
          <w:p w14:paraId="5C343A65">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本项目用于体外定量测量人血浆中凝血酶-抗凝血酶Ш复合物</w:t>
            </w:r>
            <w:r>
              <w:rPr>
                <w:rFonts w:hint="eastAsia"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TAT</w:t>
            </w:r>
            <w:r>
              <w:rPr>
                <w:rFonts w:hint="eastAsia"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、血栓调节蛋白（TM）、纤溶酶-a2纤溶酶抑制剂复合物</w:t>
            </w:r>
            <w:r>
              <w:rPr>
                <w:rFonts w:hint="eastAsia"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PIC</w:t>
            </w:r>
            <w:r>
              <w:rPr>
                <w:rFonts w:hint="eastAsia" w:cs="Times New Roman"/>
                <w:color w:val="000000" w:themeColor="text1"/>
                <w:sz w:val="24"/>
                <w:szCs w:val="24"/>
                <w:lang w:eastAsia="zh-CN"/>
                <w14:textFill>
                  <w14:solidFill>
                    <w14:schemeClr w14:val="tx1"/>
                  </w14:solidFill>
                </w14:textFill>
              </w:rPr>
              <w:t>）</w:t>
            </w:r>
            <w:r>
              <w:rPr>
                <w:rFonts w:hint="default" w:ascii="Times New Roman" w:hAnsi="Times New Roman" w:cs="Times New Roman"/>
                <w:color w:val="000000" w:themeColor="text1"/>
                <w:sz w:val="24"/>
                <w:szCs w:val="24"/>
                <w14:textFill>
                  <w14:solidFill>
                    <w14:schemeClr w14:val="tx1"/>
                  </w14:solidFill>
                </w14:textFill>
              </w:rPr>
              <w:t>及组织型纤溶酶原激活物-纤溶酶原激活物抑制剂-1复合物（tPAI.C）的含量，上述四项标志物检测总称为血栓四项，是血栓前状态（易栓症）的敏感度及特异度均良好的标志物。目前临床主要用于外科/骨科/围术期VTE、妇产科VTE、心脑血管血栓相关疾病的诊疗场景。血栓四项检测为磁微粒化学发光法，适用于全自动化学发光分析仪。</w:t>
            </w:r>
          </w:p>
        </w:tc>
      </w:tr>
      <w:tr w14:paraId="3D2AA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745" w:type="dxa"/>
            <w:vAlign w:val="center"/>
          </w:tcPr>
          <w:p w14:paraId="562E0193">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32</w:t>
            </w:r>
          </w:p>
        </w:tc>
        <w:tc>
          <w:tcPr>
            <w:tcW w:w="1292" w:type="dxa"/>
            <w:vAlign w:val="center"/>
          </w:tcPr>
          <w:p w14:paraId="3DFF5B50">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超敏肌钙蛋白I</w:t>
            </w:r>
          </w:p>
        </w:tc>
        <w:tc>
          <w:tcPr>
            <w:tcW w:w="6865" w:type="dxa"/>
            <w:vAlign w:val="center"/>
          </w:tcPr>
          <w:p w14:paraId="085EF005">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超敏肌钙蛋白I（hs-cTnI）检测是诊断心肌损伤（尤其是急性心肌梗死）的金标准标志物，具有极高的心肌组织特异性。当心肌细胞因缺血、炎症等原因受损或坏死时，会迅速释放入血，是心肌损伤最敏感、最特异的血液指标。检测为磁微粒化学发光法，适用于全自动化学发光分析仪。</w:t>
            </w:r>
          </w:p>
        </w:tc>
      </w:tr>
      <w:tr w14:paraId="65FBB8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745" w:type="dxa"/>
            <w:vAlign w:val="center"/>
          </w:tcPr>
          <w:p w14:paraId="298D717C">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33</w:t>
            </w:r>
          </w:p>
        </w:tc>
        <w:tc>
          <w:tcPr>
            <w:tcW w:w="1292" w:type="dxa"/>
            <w:vAlign w:val="center"/>
          </w:tcPr>
          <w:p w14:paraId="32477C7D">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B型利钠肽</w:t>
            </w:r>
          </w:p>
        </w:tc>
        <w:tc>
          <w:tcPr>
            <w:tcW w:w="6865" w:type="dxa"/>
            <w:vAlign w:val="center"/>
          </w:tcPr>
          <w:p w14:paraId="7B7F8419">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B型利钠肽（BNP）是诊断和评估心力衰竭的核心血液生物标志物，由心室肌细胞在心脏壁应力增加（应激）时释放。常用于心衰的筛查、诊断、严重程度评估及预后判断。检测为磁微粒化学发光法，适用于全自动化学发光分析仪。</w:t>
            </w:r>
          </w:p>
        </w:tc>
      </w:tr>
      <w:tr w14:paraId="4657E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 w:hRule="atLeast"/>
        </w:trPr>
        <w:tc>
          <w:tcPr>
            <w:tcW w:w="745" w:type="dxa"/>
            <w:vAlign w:val="center"/>
          </w:tcPr>
          <w:p w14:paraId="04D780BC">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34</w:t>
            </w:r>
          </w:p>
        </w:tc>
        <w:tc>
          <w:tcPr>
            <w:tcW w:w="1292" w:type="dxa"/>
            <w:vAlign w:val="center"/>
          </w:tcPr>
          <w:p w14:paraId="5A7262D8">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kern w:val="24"/>
                <w:sz w:val="24"/>
                <w:szCs w:val="24"/>
                <w14:textFill>
                  <w14:solidFill>
                    <w14:schemeClr w14:val="tx1"/>
                  </w14:solidFill>
                </w14:textFill>
              </w:rPr>
              <w:t>抗人球蛋白检测卡</w:t>
            </w:r>
          </w:p>
        </w:tc>
        <w:tc>
          <w:tcPr>
            <w:tcW w:w="6865" w:type="dxa"/>
            <w:vAlign w:val="center"/>
          </w:tcPr>
          <w:p w14:paraId="7146DB4C">
            <w:pPr>
              <w:autoSpaceDE w:val="0"/>
              <w:autoSpaceDN w:val="0"/>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kern w:val="24"/>
                <w:sz w:val="24"/>
                <w:szCs w:val="24"/>
                <w14:textFill>
                  <w14:solidFill>
                    <w14:schemeClr w14:val="tx1"/>
                  </w14:solidFill>
                </w14:textFill>
              </w:rPr>
              <w:t>抗人球蛋白检测卡用于输血前抗体筛查及鉴定、交叉配血、直接和间接抗人球蛋白实验、IgG抗体效价、新生儿溶血病游离实验、放散实验等项目的检测，保证临床输血安全、有效。抗人球蛋白检测卡采用微柱凝胶技术，</w:t>
            </w:r>
            <w:r>
              <w:rPr>
                <w:rFonts w:hint="default" w:ascii="Times New Roman" w:hAnsi="Times New Roman" w:cs="Times New Roman"/>
                <w:color w:val="000000" w:themeColor="text1"/>
                <w:sz w:val="24"/>
                <w:szCs w:val="24"/>
                <w14:textFill>
                  <w14:solidFill>
                    <w14:schemeClr w14:val="tx1"/>
                  </w14:solidFill>
                </w14:textFill>
              </w:rPr>
              <w:t xml:space="preserve"> 适用于多种全自动设备。</w:t>
            </w:r>
          </w:p>
        </w:tc>
      </w:tr>
      <w:tr w14:paraId="3598A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8" w:hRule="atLeast"/>
        </w:trPr>
        <w:tc>
          <w:tcPr>
            <w:tcW w:w="745" w:type="dxa"/>
            <w:vAlign w:val="center"/>
          </w:tcPr>
          <w:p w14:paraId="34A6A2EE">
            <w:pPr>
              <w:spacing w:before="0" w:after="0"/>
              <w:ind w:firstLine="0" w:firstLineChars="0"/>
              <w:jc w:val="center"/>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35</w:t>
            </w:r>
          </w:p>
        </w:tc>
        <w:tc>
          <w:tcPr>
            <w:tcW w:w="1292" w:type="dxa"/>
            <w:vAlign w:val="center"/>
          </w:tcPr>
          <w:p w14:paraId="77C56737">
            <w:pPr>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color w:val="000000" w:themeColor="text1"/>
                <w:sz w:val="24"/>
                <w:szCs w:val="24"/>
                <w14:textFill>
                  <w14:solidFill>
                    <w14:schemeClr w14:val="tx1"/>
                  </w14:solidFill>
                </w14:textFill>
              </w:rPr>
              <w:t>抗人球蛋白（抗IgG、抗C3d）检测卡</w:t>
            </w:r>
          </w:p>
        </w:tc>
        <w:tc>
          <w:tcPr>
            <w:tcW w:w="6865" w:type="dxa"/>
            <w:vAlign w:val="center"/>
          </w:tcPr>
          <w:p w14:paraId="6B159241">
            <w:pPr>
              <w:autoSpaceDE w:val="0"/>
              <w:autoSpaceDN w:val="0"/>
              <w:spacing w:before="0" w:after="0"/>
              <w:ind w:firstLine="0" w:firstLineChars="0"/>
              <w:jc w:val="left"/>
              <w:rPr>
                <w:rFonts w:hint="default" w:ascii="Times New Roman" w:hAnsi="Times New Roman" w:cs="Times New Roman"/>
                <w:color w:val="000000" w:themeColor="text1"/>
                <w:sz w:val="24"/>
                <w:szCs w:val="24"/>
                <w14:textFill>
                  <w14:solidFill>
                    <w14:schemeClr w14:val="tx1"/>
                  </w14:solidFill>
                </w14:textFill>
              </w:rPr>
            </w:pPr>
            <w:r>
              <w:rPr>
                <w:rFonts w:hint="default" w:ascii="Times New Roman" w:hAnsi="Times New Roman" w:cs="Times New Roman"/>
                <w:bCs/>
                <w:color w:val="000000" w:themeColor="text1"/>
                <w:kern w:val="24"/>
                <w:sz w:val="24"/>
                <w:szCs w:val="24"/>
                <w:lang w:val="zh-CN"/>
                <w14:textFill>
                  <w14:solidFill>
                    <w14:schemeClr w14:val="tx1"/>
                  </w14:solidFill>
                </w14:textFill>
              </w:rPr>
              <w:t>直接抗人球蛋白实验（</w:t>
            </w:r>
            <w:r>
              <w:rPr>
                <w:rFonts w:hint="default" w:ascii="Times New Roman" w:hAnsi="Times New Roman" w:cs="Times New Roman"/>
                <w:bCs/>
                <w:color w:val="000000" w:themeColor="text1"/>
                <w:kern w:val="24"/>
                <w:sz w:val="24"/>
                <w:szCs w:val="24"/>
                <w14:textFill>
                  <w14:solidFill>
                    <w14:schemeClr w14:val="tx1"/>
                  </w14:solidFill>
                </w14:textFill>
              </w:rPr>
              <w:t>DAT</w:t>
            </w:r>
            <w:r>
              <w:rPr>
                <w:rFonts w:hint="default" w:ascii="Times New Roman" w:hAnsi="Times New Roman" w:cs="Times New Roman"/>
                <w:bCs/>
                <w:color w:val="000000" w:themeColor="text1"/>
                <w:kern w:val="24"/>
                <w:sz w:val="24"/>
                <w:szCs w:val="24"/>
                <w:lang w:val="zh-CN"/>
                <w14:textFill>
                  <w14:solidFill>
                    <w14:schemeClr w14:val="tx1"/>
                  </w14:solidFill>
                </w14:textFill>
              </w:rPr>
              <w:t>），</w:t>
            </w:r>
            <w:r>
              <w:rPr>
                <w:rFonts w:hint="default" w:ascii="Times New Roman" w:hAnsi="Times New Roman" w:cs="Times New Roman"/>
                <w:bCs/>
                <w:color w:val="000000" w:themeColor="text1"/>
                <w:kern w:val="24"/>
                <w:sz w:val="24"/>
                <w:szCs w:val="24"/>
                <w14:textFill>
                  <w14:solidFill>
                    <w14:schemeClr w14:val="tx1"/>
                  </w14:solidFill>
                </w14:textFill>
              </w:rPr>
              <w:t>是</w:t>
            </w:r>
            <w:r>
              <w:rPr>
                <w:rFonts w:hint="default" w:ascii="Times New Roman" w:hAnsi="Times New Roman" w:cs="Times New Roman"/>
                <w:color w:val="000000" w:themeColor="text1"/>
                <w:kern w:val="24"/>
                <w:sz w:val="24"/>
                <w:szCs w:val="24"/>
                <w:lang w:val="zh-CN"/>
                <w14:textFill>
                  <w14:solidFill>
                    <w14:schemeClr w14:val="tx1"/>
                  </w14:solidFill>
                </w14:textFill>
              </w:rPr>
              <w:t>检查受检红细胞在机体内是否被抗体和</w:t>
            </w:r>
            <w:r>
              <w:rPr>
                <w:rFonts w:hint="default" w:ascii="Times New Roman" w:hAnsi="Times New Roman" w:cs="Times New Roman"/>
                <w:color w:val="000000" w:themeColor="text1"/>
                <w:kern w:val="24"/>
                <w:sz w:val="24"/>
                <w:szCs w:val="24"/>
                <w14:textFill>
                  <w14:solidFill>
                    <w14:schemeClr w14:val="tx1"/>
                  </w14:solidFill>
                </w14:textFill>
              </w:rPr>
              <w:t>/</w:t>
            </w:r>
            <w:r>
              <w:rPr>
                <w:rFonts w:hint="default" w:ascii="Times New Roman" w:hAnsi="Times New Roman" w:cs="Times New Roman"/>
                <w:color w:val="000000" w:themeColor="text1"/>
                <w:kern w:val="24"/>
                <w:sz w:val="24"/>
                <w:szCs w:val="24"/>
                <w:lang w:val="zh-CN"/>
                <w14:textFill>
                  <w14:solidFill>
                    <w14:schemeClr w14:val="tx1"/>
                  </w14:solidFill>
                </w14:textFill>
              </w:rPr>
              <w:t>或补体致敏。多特异性</w:t>
            </w:r>
            <w:r>
              <w:rPr>
                <w:rFonts w:hint="default" w:ascii="Times New Roman" w:hAnsi="Times New Roman" w:cs="Times New Roman"/>
                <w:color w:val="000000" w:themeColor="text1"/>
                <w:kern w:val="24"/>
                <w:sz w:val="24"/>
                <w:szCs w:val="24"/>
                <w14:textFill>
                  <w14:solidFill>
                    <w14:schemeClr w14:val="tx1"/>
                  </w14:solidFill>
                </w14:textFill>
              </w:rPr>
              <w:t>抗人球蛋白（AHG）</w:t>
            </w:r>
            <w:r>
              <w:rPr>
                <w:rFonts w:hint="default" w:ascii="Times New Roman" w:hAnsi="Times New Roman" w:cs="Times New Roman"/>
                <w:color w:val="000000" w:themeColor="text1"/>
                <w:kern w:val="24"/>
                <w:sz w:val="24"/>
                <w:szCs w:val="24"/>
                <w:lang w:val="zh-CN"/>
                <w14:textFill>
                  <w14:solidFill>
                    <w14:schemeClr w14:val="tx1"/>
                  </w14:solidFill>
                </w14:textFill>
              </w:rPr>
              <w:t>的</w:t>
            </w:r>
            <w:r>
              <w:rPr>
                <w:rFonts w:hint="default" w:ascii="Times New Roman" w:hAnsi="Times New Roman" w:cs="Times New Roman"/>
                <w:color w:val="000000" w:themeColor="text1"/>
                <w:kern w:val="24"/>
                <w:sz w:val="24"/>
                <w:szCs w:val="24"/>
                <w14:textFill>
                  <w14:solidFill>
                    <w14:schemeClr w14:val="tx1"/>
                  </w14:solidFill>
                </w14:textFill>
              </w:rPr>
              <w:t>DAT</w:t>
            </w:r>
            <w:r>
              <w:rPr>
                <w:rFonts w:hint="default" w:ascii="Times New Roman" w:hAnsi="Times New Roman" w:cs="Times New Roman"/>
                <w:color w:val="000000" w:themeColor="text1"/>
                <w:kern w:val="24"/>
                <w:sz w:val="24"/>
                <w:szCs w:val="24"/>
                <w:lang w:val="zh-CN"/>
                <w14:textFill>
                  <w14:solidFill>
                    <w14:schemeClr w14:val="tx1"/>
                  </w14:solidFill>
                </w14:textFill>
              </w:rPr>
              <w:t>阳性结果通常提示</w:t>
            </w:r>
            <w:r>
              <w:rPr>
                <w:rFonts w:hint="default" w:ascii="Times New Roman" w:hAnsi="Times New Roman" w:cs="Times New Roman"/>
                <w:color w:val="000000" w:themeColor="text1"/>
                <w:kern w:val="24"/>
                <w:sz w:val="24"/>
                <w:szCs w:val="24"/>
                <w14:textFill>
                  <w14:solidFill>
                    <w14:schemeClr w14:val="tx1"/>
                  </w14:solidFill>
                </w14:textFill>
              </w:rPr>
              <w:t>RBC</w:t>
            </w:r>
            <w:r>
              <w:rPr>
                <w:rFonts w:hint="default" w:ascii="Times New Roman" w:hAnsi="Times New Roman" w:cs="Times New Roman"/>
                <w:color w:val="000000" w:themeColor="text1"/>
                <w:kern w:val="24"/>
                <w:sz w:val="24"/>
                <w:szCs w:val="24"/>
                <w:lang w:val="zh-CN"/>
                <w14:textFill>
                  <w14:solidFill>
                    <w14:schemeClr w14:val="tx1"/>
                  </w14:solidFill>
                </w14:textFill>
              </w:rPr>
              <w:t>在体内被抗体或补体所</w:t>
            </w:r>
            <w:r>
              <w:rPr>
                <w:rFonts w:hint="default" w:ascii="Times New Roman" w:hAnsi="Times New Roman" w:cs="Times New Roman"/>
                <w:color w:val="000000" w:themeColor="text1"/>
                <w:kern w:val="24"/>
                <w:sz w:val="24"/>
                <w:szCs w:val="24"/>
                <w14:textFill>
                  <w14:solidFill>
                    <w14:schemeClr w14:val="tx1"/>
                  </w14:solidFill>
                </w14:textFill>
              </w:rPr>
              <w:t>致敏</w:t>
            </w:r>
            <w:r>
              <w:rPr>
                <w:rFonts w:hint="default" w:ascii="Times New Roman" w:hAnsi="Times New Roman" w:cs="Times New Roman"/>
                <w:color w:val="000000" w:themeColor="text1"/>
                <w:kern w:val="24"/>
                <w:sz w:val="24"/>
                <w:szCs w:val="24"/>
                <w:lang w:val="zh-CN"/>
                <w14:textFill>
                  <w14:solidFill>
                    <w14:schemeClr w14:val="tx1"/>
                  </w14:solidFill>
                </w14:textFill>
              </w:rPr>
              <w:t>，用单特异性</w:t>
            </w:r>
            <w:r>
              <w:rPr>
                <w:rFonts w:hint="default" w:ascii="Times New Roman" w:hAnsi="Times New Roman" w:cs="Times New Roman"/>
                <w:color w:val="000000" w:themeColor="text1"/>
                <w:kern w:val="24"/>
                <w:sz w:val="24"/>
                <w:szCs w:val="24"/>
                <w14:textFill>
                  <w14:solidFill>
                    <w14:schemeClr w14:val="tx1"/>
                  </w14:solidFill>
                </w14:textFill>
              </w:rPr>
              <w:t>试剂</w:t>
            </w:r>
            <w:r>
              <w:rPr>
                <w:rFonts w:hint="default" w:ascii="Times New Roman" w:hAnsi="Times New Roman" w:cs="Times New Roman"/>
                <w:color w:val="000000" w:themeColor="text1"/>
                <w:kern w:val="24"/>
                <w:sz w:val="24"/>
                <w:szCs w:val="24"/>
                <w:lang w:val="zh-CN"/>
                <w14:textFill>
                  <w14:solidFill>
                    <w14:schemeClr w14:val="tx1"/>
                  </w14:solidFill>
                </w14:textFill>
              </w:rPr>
              <w:t>（</w:t>
            </w:r>
            <w:r>
              <w:rPr>
                <w:rFonts w:hint="default" w:ascii="Times New Roman" w:hAnsi="Times New Roman" w:cs="Times New Roman"/>
                <w:color w:val="000000" w:themeColor="text1"/>
                <w:kern w:val="24"/>
                <w:sz w:val="24"/>
                <w:szCs w:val="24"/>
                <w14:textFill>
                  <w14:solidFill>
                    <w14:schemeClr w14:val="tx1"/>
                  </w14:solidFill>
                </w14:textFill>
              </w:rPr>
              <w:t>Anti-IgG，C3d</w:t>
            </w:r>
            <w:r>
              <w:rPr>
                <w:rFonts w:hint="default" w:ascii="Times New Roman" w:hAnsi="Times New Roman" w:cs="Times New Roman"/>
                <w:color w:val="000000" w:themeColor="text1"/>
                <w:kern w:val="24"/>
                <w:sz w:val="24"/>
                <w:szCs w:val="24"/>
                <w:lang w:val="zh-CN"/>
                <w14:textFill>
                  <w14:solidFill>
                    <w14:schemeClr w14:val="tx1"/>
                  </w14:solidFill>
                </w14:textFill>
              </w:rPr>
              <w:t>等）可对其</w:t>
            </w:r>
            <w:r>
              <w:rPr>
                <w:rFonts w:hint="default" w:ascii="Times New Roman" w:hAnsi="Times New Roman" w:cs="Times New Roman"/>
                <w:color w:val="000000" w:themeColor="text1"/>
                <w:kern w:val="24"/>
                <w:sz w:val="24"/>
                <w:szCs w:val="24"/>
                <w14:textFill>
                  <w14:solidFill>
                    <w14:schemeClr w14:val="tx1"/>
                  </w14:solidFill>
                </w14:textFill>
              </w:rPr>
              <w:t>致敏的抗体和/或补体</w:t>
            </w:r>
            <w:r>
              <w:rPr>
                <w:rFonts w:hint="default" w:ascii="Times New Roman" w:hAnsi="Times New Roman" w:cs="Times New Roman"/>
                <w:color w:val="000000" w:themeColor="text1"/>
                <w:kern w:val="24"/>
                <w:sz w:val="24"/>
                <w:szCs w:val="24"/>
                <w:lang w:val="zh-CN"/>
                <w14:textFill>
                  <w14:solidFill>
                    <w14:schemeClr w14:val="tx1"/>
                  </w14:solidFill>
                </w14:textFill>
              </w:rPr>
              <w:t>进行甄别，</w:t>
            </w:r>
            <w:r>
              <w:rPr>
                <w:rFonts w:hint="default" w:ascii="Times New Roman" w:hAnsi="Times New Roman" w:cs="Times New Roman"/>
                <w:color w:val="000000" w:themeColor="text1"/>
                <w:kern w:val="24"/>
                <w:sz w:val="24"/>
                <w:szCs w:val="24"/>
                <w14:textFill>
                  <w14:solidFill>
                    <w14:schemeClr w14:val="tx1"/>
                  </w14:solidFill>
                </w14:textFill>
              </w:rPr>
              <w:t>从而为临床的治疗方案提供实验室依据。</w:t>
            </w:r>
            <w:r>
              <w:rPr>
                <w:rFonts w:hint="default" w:ascii="Times New Roman" w:hAnsi="Times New Roman" w:cs="Times New Roman"/>
                <w:color w:val="000000" w:themeColor="text1"/>
                <w:sz w:val="24"/>
                <w:szCs w:val="24"/>
                <w14:textFill>
                  <w14:solidFill>
                    <w14:schemeClr w14:val="tx1"/>
                  </w14:solidFill>
                </w14:textFill>
              </w:rPr>
              <w:t>抗人球蛋白（抗IgG、抗C3d）检测卡（微柱凝胶法），使用抗IgG、抗C3d抗体对DAT阳性红细胞进行鉴别诊断，适用于多种全自动设备。</w:t>
            </w:r>
          </w:p>
        </w:tc>
      </w:tr>
    </w:tbl>
    <w:p w14:paraId="480769C4">
      <w:pPr>
        <w:spacing w:before="157" w:beforeLines="50" w:after="157" w:afterLines="50" w:line="360" w:lineRule="auto"/>
        <w:ind w:firstLine="643" w:firstLineChars="200"/>
        <w:rPr>
          <w:b/>
          <w:bCs/>
          <w:color w:val="auto"/>
          <w:sz w:val="32"/>
          <w:szCs w:val="32"/>
        </w:rPr>
      </w:pPr>
      <w:r>
        <w:rPr>
          <w:rFonts w:hint="default"/>
          <w:b/>
          <w:bCs/>
          <w:color w:val="auto"/>
          <w:sz w:val="32"/>
          <w:szCs w:val="32"/>
        </w:rPr>
        <w:t>四、课题申报说明</w:t>
      </w:r>
    </w:p>
    <w:p w14:paraId="5F716E9A">
      <w:pPr>
        <w:pStyle w:val="3"/>
        <w:numPr>
          <w:ilvl w:val="0"/>
          <w:numId w:val="0"/>
        </w:numPr>
        <w:spacing w:beforeLines="0" w:line="360" w:lineRule="auto"/>
        <w:ind w:firstLine="560" w:firstLineChars="200"/>
        <w:rPr>
          <w:rFonts w:ascii="Times New Roman" w:hAnsi="Times New Roman" w:eastAsia="宋体"/>
          <w:b w:val="0"/>
          <w:bCs w:val="0"/>
          <w:color w:val="auto"/>
          <w:sz w:val="28"/>
          <w:szCs w:val="28"/>
        </w:rPr>
      </w:pPr>
      <w:r>
        <w:rPr>
          <w:rFonts w:hint="default" w:ascii="Times New Roman" w:hAnsi="Times New Roman" w:eastAsia="宋体"/>
          <w:b w:val="0"/>
          <w:bCs w:val="0"/>
          <w:color w:val="auto"/>
          <w:sz w:val="28"/>
          <w:szCs w:val="28"/>
        </w:rPr>
        <w:t>1.申请人须仔细阅读申请指南，按照指南详细填写申请书，填写</w:t>
      </w:r>
      <w:r>
        <w:rPr>
          <w:rFonts w:hint="default" w:ascii="Times New Roman" w:hAnsi="Times New Roman" w:eastAsia="宋体"/>
          <w:b w:val="0"/>
          <w:bCs w:val="0"/>
          <w:color w:val="auto"/>
          <w:sz w:val="28"/>
          <w:szCs w:val="28"/>
          <w:lang w:eastAsia="zh-CN"/>
        </w:rPr>
        <w:t>不符</w:t>
      </w:r>
      <w:r>
        <w:rPr>
          <w:rFonts w:hint="default" w:ascii="Times New Roman" w:hAnsi="Times New Roman" w:eastAsia="宋体"/>
          <w:b w:val="0"/>
          <w:bCs w:val="0"/>
          <w:color w:val="auto"/>
          <w:sz w:val="28"/>
          <w:szCs w:val="28"/>
        </w:rPr>
        <w:t>合要求的课题会按照格式不符合要求处理。</w:t>
      </w:r>
    </w:p>
    <w:p w14:paraId="1DACE117">
      <w:pPr>
        <w:pStyle w:val="3"/>
        <w:numPr>
          <w:ilvl w:val="0"/>
          <w:numId w:val="0"/>
        </w:numPr>
        <w:spacing w:beforeLines="0" w:line="360" w:lineRule="auto"/>
        <w:ind w:firstLine="560" w:firstLineChars="200"/>
        <w:rPr>
          <w:rFonts w:ascii="Times New Roman" w:hAnsi="Times New Roman" w:eastAsia="宋体"/>
          <w:b w:val="0"/>
          <w:bCs w:val="0"/>
          <w:color w:val="auto"/>
          <w:sz w:val="28"/>
          <w:szCs w:val="28"/>
        </w:rPr>
      </w:pPr>
      <w:r>
        <w:rPr>
          <w:rFonts w:hint="default" w:ascii="Times New Roman" w:hAnsi="Times New Roman" w:eastAsia="宋体"/>
          <w:b w:val="0"/>
          <w:bCs w:val="0"/>
          <w:color w:val="auto"/>
          <w:sz w:val="28"/>
          <w:szCs w:val="28"/>
        </w:rPr>
        <w:t>2.请各课题申请人按要求填写申请书（申请书中手机和邮箱必须填写），加盖学校公章及签字后扫描上传至：</w:t>
      </w:r>
      <w:r>
        <w:rPr>
          <w:rFonts w:hint="default" w:ascii="Times New Roman" w:hAnsi="Times New Roman" w:eastAsia="宋体"/>
          <w:b/>
          <w:bCs/>
          <w:color w:val="auto"/>
          <w:sz w:val="28"/>
          <w:szCs w:val="28"/>
        </w:rPr>
        <w:t>http://cxjj.cutech.edu.cn</w:t>
      </w:r>
      <w:r>
        <w:rPr>
          <w:rFonts w:hint="default" w:ascii="Times New Roman" w:hAnsi="Times New Roman" w:eastAsia="宋体"/>
          <w:b w:val="0"/>
          <w:bCs w:val="0"/>
          <w:color w:val="auto"/>
          <w:sz w:val="28"/>
          <w:szCs w:val="28"/>
        </w:rPr>
        <w:t>；为方便评审，申请书扫描件请按以下命名规则命名：学校名称+申请人姓名。</w:t>
      </w:r>
    </w:p>
    <w:p w14:paraId="0C43EC5A">
      <w:pPr>
        <w:pStyle w:val="3"/>
        <w:numPr>
          <w:ilvl w:val="0"/>
          <w:numId w:val="0"/>
        </w:numPr>
        <w:spacing w:beforeLines="0" w:line="360" w:lineRule="auto"/>
        <w:ind w:firstLine="560" w:firstLineChars="200"/>
        <w:rPr>
          <w:rFonts w:ascii="Times New Roman" w:hAnsi="Times New Roman" w:eastAsia="宋体"/>
          <w:b w:val="0"/>
          <w:bCs w:val="0"/>
          <w:color w:val="000000" w:themeColor="text1"/>
          <w:sz w:val="28"/>
          <w:szCs w:val="28"/>
          <w14:textFill>
            <w14:solidFill>
              <w14:schemeClr w14:val="tx1"/>
            </w14:solidFill>
          </w14:textFill>
        </w:rPr>
      </w:pPr>
      <w:r>
        <w:rPr>
          <w:rFonts w:hint="default" w:ascii="Times New Roman" w:hAnsi="Times New Roman" w:eastAsia="宋体"/>
          <w:b w:val="0"/>
          <w:bCs w:val="0"/>
          <w:color w:val="000000" w:themeColor="text1"/>
          <w:sz w:val="28"/>
          <w:szCs w:val="28"/>
          <w14:textFill>
            <w14:solidFill>
              <w14:schemeClr w14:val="tx1"/>
            </w14:solidFill>
          </w14:textFill>
        </w:rPr>
        <w:t>3.申请截止时间为202</w:t>
      </w:r>
      <w:r>
        <w:rPr>
          <w:rFonts w:hint="eastAsia"/>
          <w:b w:val="0"/>
          <w:bCs w:val="0"/>
          <w:color w:val="000000" w:themeColor="text1"/>
          <w:sz w:val="28"/>
          <w:szCs w:val="28"/>
          <w:lang w:val="en-US" w:eastAsia="zh-CN"/>
          <w14:textFill>
            <w14:solidFill>
              <w14:schemeClr w14:val="tx1"/>
            </w14:solidFill>
          </w14:textFill>
        </w:rPr>
        <w:t>6</w:t>
      </w:r>
      <w:r>
        <w:rPr>
          <w:rFonts w:hint="default" w:ascii="Times New Roman" w:hAnsi="Times New Roman" w:eastAsia="宋体"/>
          <w:b w:val="0"/>
          <w:bCs w:val="0"/>
          <w:color w:val="000000" w:themeColor="text1"/>
          <w:sz w:val="28"/>
          <w:szCs w:val="28"/>
          <w14:textFill>
            <w14:solidFill>
              <w14:schemeClr w14:val="tx1"/>
            </w14:solidFill>
          </w14:textFill>
        </w:rPr>
        <w:t>年</w:t>
      </w:r>
      <w:r>
        <w:rPr>
          <w:rFonts w:hint="eastAsia"/>
          <w:b w:val="0"/>
          <w:bCs w:val="0"/>
          <w:color w:val="000000" w:themeColor="text1"/>
          <w:sz w:val="28"/>
          <w:szCs w:val="28"/>
          <w:lang w:val="en-US" w:eastAsia="zh-CN"/>
          <w14:textFill>
            <w14:solidFill>
              <w14:schemeClr w14:val="tx1"/>
            </w14:solidFill>
          </w14:textFill>
        </w:rPr>
        <w:t>3</w:t>
      </w:r>
      <w:r>
        <w:rPr>
          <w:rFonts w:hint="default" w:ascii="Times New Roman" w:hAnsi="Times New Roman" w:eastAsia="宋体"/>
          <w:b w:val="0"/>
          <w:bCs w:val="0"/>
          <w:color w:val="000000" w:themeColor="text1"/>
          <w:sz w:val="28"/>
          <w:szCs w:val="28"/>
          <w14:textFill>
            <w14:solidFill>
              <w14:schemeClr w14:val="tx1"/>
            </w14:solidFill>
          </w14:textFill>
        </w:rPr>
        <w:t>月</w:t>
      </w:r>
      <w:r>
        <w:rPr>
          <w:rFonts w:hint="eastAsia"/>
          <w:b w:val="0"/>
          <w:bCs w:val="0"/>
          <w:color w:val="000000" w:themeColor="text1"/>
          <w:sz w:val="28"/>
          <w:szCs w:val="28"/>
          <w:lang w:val="en-US" w:eastAsia="zh-CN"/>
          <w14:textFill>
            <w14:solidFill>
              <w14:schemeClr w14:val="tx1"/>
            </w14:solidFill>
          </w14:textFill>
        </w:rPr>
        <w:t>2</w:t>
      </w:r>
      <w:r>
        <w:rPr>
          <w:rFonts w:hint="default" w:ascii="Times New Roman" w:hAnsi="Times New Roman" w:eastAsia="宋体"/>
          <w:b w:val="0"/>
          <w:bCs w:val="0"/>
          <w:color w:val="000000" w:themeColor="text1"/>
          <w:sz w:val="28"/>
          <w:szCs w:val="28"/>
          <w14:textFill>
            <w14:solidFill>
              <w14:schemeClr w14:val="tx1"/>
            </w14:solidFill>
          </w14:textFill>
        </w:rPr>
        <w:t>日。</w:t>
      </w:r>
    </w:p>
    <w:p w14:paraId="24CEE6A1">
      <w:pPr>
        <w:pStyle w:val="3"/>
        <w:numPr>
          <w:ilvl w:val="0"/>
          <w:numId w:val="0"/>
        </w:numPr>
        <w:spacing w:beforeLines="0" w:line="360" w:lineRule="auto"/>
        <w:ind w:firstLine="560" w:firstLineChars="200"/>
        <w:rPr>
          <w:rFonts w:ascii="Times New Roman" w:hAnsi="Times New Roman" w:eastAsia="宋体"/>
          <w:b w:val="0"/>
          <w:bCs w:val="0"/>
          <w:color w:val="000000" w:themeColor="text1"/>
          <w:sz w:val="28"/>
          <w:szCs w:val="28"/>
          <w14:textFill>
            <w14:solidFill>
              <w14:schemeClr w14:val="tx1"/>
            </w14:solidFill>
          </w14:textFill>
        </w:rPr>
      </w:pPr>
      <w:r>
        <w:rPr>
          <w:rFonts w:hint="default" w:ascii="Times New Roman" w:hAnsi="Times New Roman" w:eastAsia="宋体"/>
          <w:b w:val="0"/>
          <w:bCs w:val="0"/>
          <w:color w:val="000000" w:themeColor="text1"/>
          <w:sz w:val="28"/>
          <w:szCs w:val="28"/>
          <w14:textFill>
            <w14:solidFill>
              <w14:schemeClr w14:val="tx1"/>
            </w14:solidFill>
          </w14:textFill>
        </w:rPr>
        <w:t>4.课题的计划执行时间为202</w:t>
      </w:r>
      <w:r>
        <w:rPr>
          <w:rFonts w:hint="eastAsia"/>
          <w:b w:val="0"/>
          <w:bCs w:val="0"/>
          <w:color w:val="000000" w:themeColor="text1"/>
          <w:sz w:val="28"/>
          <w:szCs w:val="28"/>
          <w:lang w:val="en-US" w:eastAsia="zh-CN"/>
          <w14:textFill>
            <w14:solidFill>
              <w14:schemeClr w14:val="tx1"/>
            </w14:solidFill>
          </w14:textFill>
        </w:rPr>
        <w:t>6</w:t>
      </w:r>
      <w:r>
        <w:rPr>
          <w:rFonts w:hint="default" w:ascii="Times New Roman" w:hAnsi="Times New Roman" w:eastAsia="宋体"/>
          <w:b w:val="0"/>
          <w:bCs w:val="0"/>
          <w:color w:val="000000" w:themeColor="text1"/>
          <w:sz w:val="28"/>
          <w:szCs w:val="28"/>
          <w14:textFill>
            <w14:solidFill>
              <w14:schemeClr w14:val="tx1"/>
            </w14:solidFill>
          </w14:textFill>
        </w:rPr>
        <w:t>年</w:t>
      </w:r>
      <w:r>
        <w:rPr>
          <w:rFonts w:hint="eastAsia"/>
          <w:b w:val="0"/>
          <w:bCs w:val="0"/>
          <w:color w:val="000000" w:themeColor="text1"/>
          <w:sz w:val="28"/>
          <w:szCs w:val="28"/>
          <w:lang w:val="en-US" w:eastAsia="zh-CN"/>
          <w14:textFill>
            <w14:solidFill>
              <w14:schemeClr w14:val="tx1"/>
            </w14:solidFill>
          </w14:textFill>
        </w:rPr>
        <w:t>5</w:t>
      </w:r>
      <w:r>
        <w:rPr>
          <w:rFonts w:hint="default" w:ascii="Times New Roman" w:hAnsi="Times New Roman" w:eastAsia="宋体"/>
          <w:b w:val="0"/>
          <w:bCs w:val="0"/>
          <w:color w:val="000000" w:themeColor="text1"/>
          <w:sz w:val="28"/>
          <w:szCs w:val="28"/>
          <w14:textFill>
            <w14:solidFill>
              <w14:schemeClr w14:val="tx1"/>
            </w14:solidFill>
          </w14:textFill>
        </w:rPr>
        <w:t>月</w:t>
      </w:r>
      <w:r>
        <w:rPr>
          <w:rFonts w:hint="eastAsia"/>
          <w:b w:val="0"/>
          <w:bCs w:val="0"/>
          <w:color w:val="000000" w:themeColor="text1"/>
          <w:sz w:val="28"/>
          <w:szCs w:val="28"/>
          <w:lang w:val="en-US" w:eastAsia="zh-CN"/>
          <w14:textFill>
            <w14:solidFill>
              <w14:schemeClr w14:val="tx1"/>
            </w14:solidFill>
          </w14:textFill>
        </w:rPr>
        <w:t>3</w:t>
      </w:r>
      <w:r>
        <w:rPr>
          <w:rFonts w:hint="default" w:ascii="Times New Roman" w:hAnsi="Times New Roman" w:eastAsia="宋体"/>
          <w:b w:val="0"/>
          <w:bCs w:val="0"/>
          <w:color w:val="000000" w:themeColor="text1"/>
          <w:sz w:val="28"/>
          <w:szCs w:val="28"/>
          <w14:textFill>
            <w14:solidFill>
              <w14:schemeClr w14:val="tx1"/>
            </w14:solidFill>
          </w14:textFill>
        </w:rPr>
        <w:t>日～202</w:t>
      </w:r>
      <w:r>
        <w:rPr>
          <w:rFonts w:hint="eastAsia"/>
          <w:b w:val="0"/>
          <w:bCs w:val="0"/>
          <w:color w:val="000000" w:themeColor="text1"/>
          <w:sz w:val="28"/>
          <w:szCs w:val="28"/>
          <w:lang w:val="en-US" w:eastAsia="zh-CN"/>
          <w14:textFill>
            <w14:solidFill>
              <w14:schemeClr w14:val="tx1"/>
            </w14:solidFill>
          </w14:textFill>
        </w:rPr>
        <w:t>7</w:t>
      </w:r>
      <w:r>
        <w:rPr>
          <w:rFonts w:hint="default" w:ascii="Times New Roman" w:hAnsi="Times New Roman" w:eastAsia="宋体"/>
          <w:b w:val="0"/>
          <w:bCs w:val="0"/>
          <w:color w:val="000000" w:themeColor="text1"/>
          <w:sz w:val="28"/>
          <w:szCs w:val="28"/>
          <w14:textFill>
            <w14:solidFill>
              <w14:schemeClr w14:val="tx1"/>
            </w14:solidFill>
          </w14:textFill>
        </w:rPr>
        <w:t>年</w:t>
      </w:r>
      <w:r>
        <w:rPr>
          <w:rFonts w:hint="eastAsia"/>
          <w:b w:val="0"/>
          <w:bCs w:val="0"/>
          <w:color w:val="000000" w:themeColor="text1"/>
          <w:sz w:val="28"/>
          <w:szCs w:val="28"/>
          <w:lang w:val="en-US" w:eastAsia="zh-CN"/>
          <w14:textFill>
            <w14:solidFill>
              <w14:schemeClr w14:val="tx1"/>
            </w14:solidFill>
          </w14:textFill>
        </w:rPr>
        <w:t>5</w:t>
      </w:r>
      <w:r>
        <w:rPr>
          <w:rFonts w:hint="default" w:ascii="Times New Roman" w:hAnsi="Times New Roman" w:eastAsia="宋体"/>
          <w:b w:val="0"/>
          <w:bCs w:val="0"/>
          <w:color w:val="000000" w:themeColor="text1"/>
          <w:sz w:val="28"/>
          <w:szCs w:val="28"/>
          <w14:textFill>
            <w14:solidFill>
              <w14:schemeClr w14:val="tx1"/>
            </w14:solidFill>
          </w14:textFill>
        </w:rPr>
        <w:t>月</w:t>
      </w:r>
      <w:r>
        <w:rPr>
          <w:rFonts w:hint="eastAsia"/>
          <w:b w:val="0"/>
          <w:bCs w:val="0"/>
          <w:color w:val="000000" w:themeColor="text1"/>
          <w:sz w:val="28"/>
          <w:szCs w:val="28"/>
          <w:lang w:val="en-US" w:eastAsia="zh-CN"/>
          <w14:textFill>
            <w14:solidFill>
              <w14:schemeClr w14:val="tx1"/>
            </w14:solidFill>
          </w14:textFill>
        </w:rPr>
        <w:t>2</w:t>
      </w:r>
      <w:r>
        <w:rPr>
          <w:rFonts w:hint="default" w:ascii="Times New Roman" w:hAnsi="Times New Roman" w:eastAsia="宋体"/>
          <w:b w:val="0"/>
          <w:bCs w:val="0"/>
          <w:color w:val="000000" w:themeColor="text1"/>
          <w:sz w:val="28"/>
          <w:szCs w:val="28"/>
          <w14:textFill>
            <w14:solidFill>
              <w14:schemeClr w14:val="tx1"/>
            </w14:solidFill>
          </w14:textFill>
        </w:rPr>
        <w:t>日</w:t>
      </w:r>
      <w:bookmarkStart w:id="0" w:name="_GoBack"/>
      <w:bookmarkEnd w:id="0"/>
      <w:r>
        <w:rPr>
          <w:rFonts w:hint="default" w:ascii="Times New Roman" w:hAnsi="Times New Roman" w:eastAsia="宋体"/>
          <w:b w:val="0"/>
          <w:bCs w:val="0"/>
          <w:color w:val="000000" w:themeColor="text1"/>
          <w:sz w:val="28"/>
          <w:szCs w:val="28"/>
          <w14:textFill>
            <w14:solidFill>
              <w14:schemeClr w14:val="tx1"/>
            </w14:solidFill>
          </w14:textFill>
        </w:rPr>
        <w:t>。</w:t>
      </w:r>
    </w:p>
    <w:p w14:paraId="30726F3A">
      <w:pPr>
        <w:pStyle w:val="3"/>
        <w:numPr>
          <w:ilvl w:val="0"/>
          <w:numId w:val="0"/>
        </w:numPr>
        <w:spacing w:beforeLines="0" w:line="360" w:lineRule="auto"/>
        <w:ind w:firstLine="560" w:firstLineChars="200"/>
        <w:rPr>
          <w:rFonts w:ascii="Times New Roman" w:hAnsi="Times New Roman" w:eastAsia="宋体"/>
          <w:b w:val="0"/>
          <w:bCs w:val="0"/>
          <w:color w:val="auto"/>
          <w:sz w:val="28"/>
          <w:szCs w:val="28"/>
        </w:rPr>
      </w:pPr>
      <w:r>
        <w:rPr>
          <w:rFonts w:hint="default" w:ascii="Times New Roman" w:hAnsi="Times New Roman" w:eastAsia="宋体"/>
          <w:b w:val="0"/>
          <w:bCs w:val="0"/>
          <w:color w:val="auto"/>
          <w:sz w:val="28"/>
          <w:szCs w:val="28"/>
        </w:rPr>
        <w:t>5.课题选题列表上的选题方向都不限定课题数量，但是如果存在内容重复的相似课题，专家组将根据课题组技术积累、课题方案、课题支撑条件等要素择优选择立项课题。</w:t>
      </w:r>
    </w:p>
    <w:p w14:paraId="3121DB83">
      <w:pPr>
        <w:pStyle w:val="3"/>
        <w:numPr>
          <w:ilvl w:val="0"/>
          <w:numId w:val="0"/>
        </w:numPr>
        <w:spacing w:beforeLines="0" w:line="360" w:lineRule="auto"/>
        <w:ind w:firstLine="560" w:firstLineChars="200"/>
        <w:rPr>
          <w:rFonts w:ascii="Times New Roman" w:hAnsi="Times New Roman" w:eastAsia="宋体"/>
          <w:b w:val="0"/>
          <w:bCs w:val="0"/>
          <w:color w:val="auto"/>
          <w:sz w:val="28"/>
          <w:szCs w:val="28"/>
        </w:rPr>
      </w:pPr>
      <w:r>
        <w:rPr>
          <w:rFonts w:hint="default" w:ascii="Times New Roman" w:hAnsi="Times New Roman" w:eastAsia="宋体"/>
          <w:b w:val="0"/>
          <w:bCs w:val="0"/>
          <w:color w:val="auto"/>
          <w:sz w:val="28"/>
          <w:szCs w:val="28"/>
        </w:rPr>
        <w:t>6.如果以联合课题组的形式申请课题，需要列明不同单位的课题任务。</w:t>
      </w:r>
    </w:p>
    <w:p w14:paraId="7AEF0974">
      <w:pPr>
        <w:pStyle w:val="3"/>
        <w:numPr>
          <w:ilvl w:val="0"/>
          <w:numId w:val="0"/>
        </w:numPr>
        <w:spacing w:beforeLines="0" w:line="360" w:lineRule="auto"/>
        <w:ind w:firstLine="560" w:firstLineChars="200"/>
        <w:rPr>
          <w:rFonts w:ascii="Times New Roman" w:hAnsi="Times New Roman" w:eastAsia="宋体"/>
          <w:b w:val="0"/>
          <w:color w:val="auto"/>
          <w:sz w:val="28"/>
          <w:szCs w:val="28"/>
        </w:rPr>
      </w:pPr>
      <w:r>
        <w:rPr>
          <w:rFonts w:hint="default" w:ascii="Times New Roman" w:hAnsi="Times New Roman" w:eastAsia="宋体"/>
          <w:b w:val="0"/>
          <w:color w:val="auto"/>
          <w:sz w:val="28"/>
          <w:szCs w:val="28"/>
        </w:rPr>
        <w:t>7.课题申请人无需向支持企业额外购买配套设备</w:t>
      </w:r>
      <w:r>
        <w:rPr>
          <w:rFonts w:ascii="Times New Roman" w:hAnsi="Times New Roman" w:eastAsia="宋体"/>
          <w:b w:val="0"/>
          <w:color w:val="auto"/>
          <w:sz w:val="28"/>
          <w:szCs w:val="28"/>
        </w:rPr>
        <w:t>、产品</w:t>
      </w:r>
      <w:r>
        <w:rPr>
          <w:rFonts w:hint="default" w:ascii="Times New Roman" w:hAnsi="Times New Roman" w:eastAsia="宋体"/>
          <w:b w:val="0"/>
          <w:color w:val="auto"/>
          <w:sz w:val="28"/>
          <w:szCs w:val="28"/>
        </w:rPr>
        <w:t>或软件。</w:t>
      </w:r>
    </w:p>
    <w:p w14:paraId="3F4A9150">
      <w:pPr>
        <w:spacing w:before="157" w:beforeLines="50" w:after="157" w:afterLines="50" w:line="360" w:lineRule="auto"/>
        <w:ind w:firstLine="643" w:firstLineChars="200"/>
        <w:rPr>
          <w:b/>
          <w:bCs/>
          <w:color w:val="auto"/>
          <w:sz w:val="32"/>
          <w:szCs w:val="32"/>
        </w:rPr>
      </w:pPr>
      <w:r>
        <w:rPr>
          <w:rFonts w:hint="default"/>
          <w:b/>
          <w:bCs/>
          <w:color w:val="auto"/>
          <w:sz w:val="32"/>
          <w:szCs w:val="32"/>
        </w:rPr>
        <w:t>五、联系人及联系方式</w:t>
      </w:r>
    </w:p>
    <w:p w14:paraId="2AB592BD">
      <w:pPr>
        <w:spacing w:before="0" w:after="0" w:line="360" w:lineRule="auto"/>
        <w:ind w:firstLine="661" w:firstLineChars="235"/>
        <w:rPr>
          <w:rFonts w:ascii="Times New Roman" w:hAnsi="Times New Roman"/>
          <w:color w:val="auto"/>
          <w:sz w:val="28"/>
          <w:szCs w:val="28"/>
        </w:rPr>
      </w:pPr>
      <w:r>
        <w:rPr>
          <w:rFonts w:hint="default" w:ascii="Times New Roman" w:hAnsi="Times New Roman"/>
          <w:b/>
          <w:color w:val="auto"/>
          <w:sz w:val="28"/>
          <w:szCs w:val="28"/>
        </w:rPr>
        <w:t>教育部高等</w:t>
      </w:r>
      <w:r>
        <w:rPr>
          <w:rFonts w:ascii="Times New Roman" w:hAnsi="Times New Roman"/>
          <w:b/>
          <w:color w:val="auto"/>
          <w:sz w:val="28"/>
          <w:szCs w:val="28"/>
        </w:rPr>
        <w:t>学校科学研究发展中心</w:t>
      </w:r>
    </w:p>
    <w:p w14:paraId="12CB2CFD">
      <w:pPr>
        <w:spacing w:before="0" w:after="0" w:line="360" w:lineRule="auto"/>
        <w:ind w:firstLine="658" w:firstLineChars="235"/>
        <w:jc w:val="left"/>
        <w:rPr>
          <w:rFonts w:ascii="Times New Roman" w:hAnsi="Times New Roman"/>
          <w:color w:val="auto"/>
          <w:sz w:val="28"/>
          <w:szCs w:val="28"/>
        </w:rPr>
      </w:pPr>
      <w:r>
        <w:rPr>
          <w:rFonts w:hint="default" w:ascii="Times New Roman" w:hAnsi="Times New Roman"/>
          <w:color w:val="auto"/>
          <w:sz w:val="28"/>
          <w:szCs w:val="28"/>
        </w:rPr>
        <w:t>基金申报</w:t>
      </w:r>
      <w:r>
        <w:rPr>
          <w:rFonts w:ascii="Times New Roman" w:hAnsi="Times New Roman"/>
          <w:color w:val="auto"/>
          <w:sz w:val="28"/>
          <w:szCs w:val="28"/>
        </w:rPr>
        <w:t>：</w:t>
      </w:r>
      <w:r>
        <w:rPr>
          <w:rFonts w:hint="default" w:ascii="Times New Roman" w:hAnsi="Times New Roman"/>
          <w:color w:val="auto"/>
          <w:sz w:val="28"/>
          <w:szCs w:val="28"/>
        </w:rPr>
        <w:t>赵艳玲  电话：010-62514016，18618260029</w:t>
      </w:r>
    </w:p>
    <w:p w14:paraId="17898E99">
      <w:pPr>
        <w:spacing w:before="0" w:after="0" w:line="360" w:lineRule="auto"/>
        <w:ind w:firstLine="661" w:firstLineChars="235"/>
        <w:rPr>
          <w:rFonts w:ascii="Times New Roman" w:hAnsi="Times New Roman"/>
          <w:b/>
          <w:color w:val="auto"/>
          <w:sz w:val="28"/>
          <w:szCs w:val="28"/>
        </w:rPr>
      </w:pPr>
      <w:r>
        <w:rPr>
          <w:rFonts w:hint="default" w:ascii="Times New Roman" w:hAnsi="Times New Roman"/>
          <w:b/>
          <w:color w:val="auto"/>
          <w:sz w:val="28"/>
          <w:szCs w:val="28"/>
        </w:rPr>
        <w:t>北京九强生物技术股份</w:t>
      </w:r>
      <w:r>
        <w:rPr>
          <w:rFonts w:ascii="Times New Roman" w:hAnsi="Times New Roman"/>
          <w:b/>
          <w:color w:val="auto"/>
          <w:sz w:val="28"/>
          <w:szCs w:val="28"/>
        </w:rPr>
        <w:t>有限公司</w:t>
      </w:r>
    </w:p>
    <w:p w14:paraId="7D8093AC">
      <w:pPr>
        <w:spacing w:before="0" w:after="0" w:line="360" w:lineRule="auto"/>
        <w:ind w:firstLine="658" w:firstLineChars="235"/>
        <w:rPr>
          <w:rFonts w:hint="default" w:ascii="Times New Roman" w:hAnsi="Times New Roman"/>
          <w:iCs w:val="0"/>
          <w:color w:val="auto"/>
          <w:kern w:val="2"/>
          <w:sz w:val="28"/>
          <w:szCs w:val="28"/>
        </w:rPr>
      </w:pPr>
      <w:r>
        <w:rPr>
          <w:rFonts w:hint="default" w:ascii="Times New Roman" w:hAnsi="Times New Roman"/>
          <w:color w:val="auto"/>
          <w:sz w:val="28"/>
          <w:szCs w:val="28"/>
        </w:rPr>
        <w:t>技术支持</w:t>
      </w:r>
      <w:r>
        <w:rPr>
          <w:rFonts w:ascii="Times New Roman" w:hAnsi="Times New Roman"/>
          <w:color w:val="auto"/>
          <w:sz w:val="28"/>
          <w:szCs w:val="28"/>
        </w:rPr>
        <w:t>：</w:t>
      </w:r>
      <w:r>
        <w:rPr>
          <w:rFonts w:hint="default" w:ascii="Times New Roman" w:hAnsi="Times New Roman"/>
          <w:color w:val="auto"/>
          <w:sz w:val="28"/>
          <w:szCs w:val="28"/>
        </w:rPr>
        <w:t xml:space="preserve">陈秋明 </w:t>
      </w:r>
      <w:r>
        <w:rPr>
          <w:rFonts w:ascii="Times New Roman" w:hAnsi="Times New Roman"/>
          <w:color w:val="auto"/>
          <w:sz w:val="28"/>
          <w:szCs w:val="28"/>
        </w:rPr>
        <w:t xml:space="preserve"> </w:t>
      </w:r>
      <w:r>
        <w:rPr>
          <w:rFonts w:hint="default" w:ascii="Times New Roman" w:hAnsi="Times New Roman"/>
          <w:iCs w:val="0"/>
          <w:color w:val="auto"/>
          <w:kern w:val="2"/>
          <w:sz w:val="28"/>
          <w:szCs w:val="28"/>
        </w:rPr>
        <w:t>电话：13810417626</w:t>
      </w:r>
    </w:p>
    <w:p w14:paraId="13304F43">
      <w:pPr>
        <w:spacing w:before="0" w:after="0" w:line="360" w:lineRule="auto"/>
        <w:ind w:firstLine="1775" w:firstLineChars="634"/>
        <w:rPr>
          <w:rFonts w:ascii="Times New Roman" w:hAnsi="Times New Roman"/>
          <w:iCs w:val="0"/>
          <w:color w:val="auto"/>
          <w:kern w:val="2"/>
          <w:sz w:val="28"/>
          <w:szCs w:val="28"/>
        </w:rPr>
      </w:pPr>
      <w:r>
        <w:rPr>
          <w:rFonts w:hint="default" w:ascii="Times New Roman" w:hAnsi="Times New Roman"/>
          <w:iCs w:val="0"/>
          <w:color w:val="auto"/>
          <w:kern w:val="2"/>
          <w:sz w:val="28"/>
          <w:szCs w:val="28"/>
        </w:rPr>
        <w:t xml:space="preserve">  杨小燕  电话</w:t>
      </w:r>
      <w:r>
        <w:rPr>
          <w:rFonts w:ascii="Times New Roman" w:hAnsi="Times New Roman"/>
          <w:iCs w:val="0"/>
          <w:color w:val="auto"/>
          <w:kern w:val="2"/>
          <w:sz w:val="28"/>
          <w:szCs w:val="28"/>
        </w:rPr>
        <w:t>：</w:t>
      </w:r>
      <w:r>
        <w:rPr>
          <w:rFonts w:hint="default" w:ascii="Times New Roman" w:hAnsi="Times New Roman"/>
          <w:iCs w:val="0"/>
          <w:color w:val="auto"/>
          <w:kern w:val="2"/>
          <w:sz w:val="28"/>
          <w:szCs w:val="28"/>
        </w:rPr>
        <w:t>18511075227</w:t>
      </w:r>
    </w:p>
    <w:p w14:paraId="3F5D8259">
      <w:pPr>
        <w:spacing w:before="0" w:after="0" w:line="360" w:lineRule="auto"/>
        <w:ind w:firstLine="0" w:firstLineChars="0"/>
        <w:rPr>
          <w:rFonts w:ascii="Times New Roman" w:hAnsi="Times New Roman"/>
          <w:color w:val="auto"/>
          <w:sz w:val="24"/>
          <w:szCs w:val="24"/>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54DBBC">
    <w:pPr>
      <w:pStyle w:val="6"/>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9A982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9A9825">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0506F3">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27489E">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ind w:firstLine="420"/>
      </w:pPr>
      <w:r>
        <w:separator/>
      </w:r>
    </w:p>
  </w:footnote>
  <w:footnote w:type="continuationSeparator" w:id="1">
    <w:p>
      <w:pPr>
        <w:spacing w:before="0" w:after="0"/>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7E46A">
    <w:pPr>
      <w:pStyle w:val="7"/>
      <w:pBdr>
        <w:top w:val="none" w:color="auto" w:sz="0" w:space="1"/>
        <w:left w:val="none" w:color="auto" w:sz="0" w:space="4"/>
        <w:bottom w:val="none" w:color="auto" w:sz="0" w:space="1"/>
        <w:right w:val="none" w:color="auto" w:sz="0" w:space="4"/>
        <w:between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8A829">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EA145D">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B32EAC"/>
    <w:multiLevelType w:val="singleLevel"/>
    <w:tmpl w:val="91B32EAC"/>
    <w:lvl w:ilvl="0" w:tentative="0">
      <w:start w:val="3"/>
      <w:numFmt w:val="decimal"/>
      <w:suff w:val="space"/>
      <w:lvlText w:val="%1."/>
      <w:lvlJc w:val="left"/>
    </w:lvl>
  </w:abstractNum>
  <w:abstractNum w:abstractNumId="1">
    <w:nsid w:val="F6249960"/>
    <w:multiLevelType w:val="singleLevel"/>
    <w:tmpl w:val="F6249960"/>
    <w:lvl w:ilvl="0" w:tentative="0">
      <w:start w:val="6"/>
      <w:numFmt w:val="decimal"/>
      <w:suff w:val="space"/>
      <w:lvlText w:val="%1."/>
      <w:lvlJc w:val="left"/>
    </w:lvl>
  </w:abstractNum>
  <w:abstractNum w:abstractNumId="2">
    <w:nsid w:val="279F64D6"/>
    <w:multiLevelType w:val="singleLevel"/>
    <w:tmpl w:val="279F64D6"/>
    <w:lvl w:ilvl="0" w:tentative="0">
      <w:start w:val="5"/>
      <w:numFmt w:val="decimal"/>
      <w:suff w:val="space"/>
      <w:lvlText w:val="%1."/>
      <w:lvlJc w:val="left"/>
    </w:lvl>
  </w:abstractNum>
  <w:abstractNum w:abstractNumId="3">
    <w:nsid w:val="4FDB42AA"/>
    <w:multiLevelType w:val="multilevel"/>
    <w:tmpl w:val="4FDB42AA"/>
    <w:lvl w:ilvl="0" w:tentative="0">
      <w:start w:val="1"/>
      <w:numFmt w:val="chineseCountingThousand"/>
      <w:pStyle w:val="3"/>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4">
    <w:nsid w:val="73485E25"/>
    <w:multiLevelType w:val="singleLevel"/>
    <w:tmpl w:val="73485E25"/>
    <w:lvl w:ilvl="0" w:tentative="0">
      <w:start w:val="1"/>
      <w:numFmt w:val="decimal"/>
      <w:suff w:val="nothing"/>
      <w:lvlText w:val="%1．"/>
      <w:lvlJc w:val="left"/>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BkZDBkZjkxZmNhY2EyYzFlODI5ZTM5MjE4ZDFkYjgifQ=="/>
    <w:docVar w:name="KSO_WPS_MARK_KEY" w:val="dc8f719e-db8b-45bf-9f31-32baab838cef"/>
  </w:docVars>
  <w:rsids>
    <w:rsidRoot w:val="31C15D21"/>
    <w:rsid w:val="000242BF"/>
    <w:rsid w:val="000578CD"/>
    <w:rsid w:val="00066487"/>
    <w:rsid w:val="000A0ACE"/>
    <w:rsid w:val="000A3C2C"/>
    <w:rsid w:val="000B3AF2"/>
    <w:rsid w:val="001472C5"/>
    <w:rsid w:val="0015585F"/>
    <w:rsid w:val="00156948"/>
    <w:rsid w:val="00181C2B"/>
    <w:rsid w:val="001C70B5"/>
    <w:rsid w:val="0022288F"/>
    <w:rsid w:val="002E6BDE"/>
    <w:rsid w:val="003F6394"/>
    <w:rsid w:val="00477DC5"/>
    <w:rsid w:val="00486503"/>
    <w:rsid w:val="004913ED"/>
    <w:rsid w:val="004A3073"/>
    <w:rsid w:val="004A5001"/>
    <w:rsid w:val="004A503E"/>
    <w:rsid w:val="00527FC8"/>
    <w:rsid w:val="005463A1"/>
    <w:rsid w:val="005776D9"/>
    <w:rsid w:val="00580B1D"/>
    <w:rsid w:val="00581D8E"/>
    <w:rsid w:val="00582759"/>
    <w:rsid w:val="005B4513"/>
    <w:rsid w:val="005D0938"/>
    <w:rsid w:val="005F22C6"/>
    <w:rsid w:val="006051F1"/>
    <w:rsid w:val="00650786"/>
    <w:rsid w:val="00656984"/>
    <w:rsid w:val="00661D65"/>
    <w:rsid w:val="006A2F7A"/>
    <w:rsid w:val="0071743D"/>
    <w:rsid w:val="007A6540"/>
    <w:rsid w:val="008214C4"/>
    <w:rsid w:val="00880014"/>
    <w:rsid w:val="00881D58"/>
    <w:rsid w:val="008B7759"/>
    <w:rsid w:val="008C3A05"/>
    <w:rsid w:val="008E2BE9"/>
    <w:rsid w:val="008F7B6B"/>
    <w:rsid w:val="009500A9"/>
    <w:rsid w:val="00964176"/>
    <w:rsid w:val="0097546A"/>
    <w:rsid w:val="009865C1"/>
    <w:rsid w:val="009872D1"/>
    <w:rsid w:val="009F01C3"/>
    <w:rsid w:val="00A21AA6"/>
    <w:rsid w:val="00A23D1A"/>
    <w:rsid w:val="00A47567"/>
    <w:rsid w:val="00A51F5F"/>
    <w:rsid w:val="00AA10DC"/>
    <w:rsid w:val="00AD2D5B"/>
    <w:rsid w:val="00AE43E9"/>
    <w:rsid w:val="00B106A6"/>
    <w:rsid w:val="00B55835"/>
    <w:rsid w:val="00B8686C"/>
    <w:rsid w:val="00BC282A"/>
    <w:rsid w:val="00BC3C62"/>
    <w:rsid w:val="00C208D7"/>
    <w:rsid w:val="00C244A0"/>
    <w:rsid w:val="00C50181"/>
    <w:rsid w:val="00C779F4"/>
    <w:rsid w:val="00CB4451"/>
    <w:rsid w:val="00CC03EB"/>
    <w:rsid w:val="00D22D19"/>
    <w:rsid w:val="00D2693E"/>
    <w:rsid w:val="00D27C0E"/>
    <w:rsid w:val="00D649FD"/>
    <w:rsid w:val="00DC747F"/>
    <w:rsid w:val="00E74631"/>
    <w:rsid w:val="00EC0710"/>
    <w:rsid w:val="00EE355C"/>
    <w:rsid w:val="00F01D48"/>
    <w:rsid w:val="00F170D7"/>
    <w:rsid w:val="00F62A7D"/>
    <w:rsid w:val="00FA249C"/>
    <w:rsid w:val="00FB0B8C"/>
    <w:rsid w:val="00FC35BF"/>
    <w:rsid w:val="00FD7668"/>
    <w:rsid w:val="01747354"/>
    <w:rsid w:val="03681C3C"/>
    <w:rsid w:val="03AA4003"/>
    <w:rsid w:val="03EC0177"/>
    <w:rsid w:val="05EC3946"/>
    <w:rsid w:val="06A93E29"/>
    <w:rsid w:val="07F63E15"/>
    <w:rsid w:val="089332B7"/>
    <w:rsid w:val="099B4BEF"/>
    <w:rsid w:val="09F5456F"/>
    <w:rsid w:val="0A7A504E"/>
    <w:rsid w:val="0B154457"/>
    <w:rsid w:val="0BBE17C0"/>
    <w:rsid w:val="0C7B478E"/>
    <w:rsid w:val="0C9F4CFB"/>
    <w:rsid w:val="0CAE71A8"/>
    <w:rsid w:val="0D3970FC"/>
    <w:rsid w:val="0D3A01A5"/>
    <w:rsid w:val="0DBA099A"/>
    <w:rsid w:val="0E2009D4"/>
    <w:rsid w:val="0F7036E3"/>
    <w:rsid w:val="0FF53C80"/>
    <w:rsid w:val="0FFA2130"/>
    <w:rsid w:val="10E8529A"/>
    <w:rsid w:val="10F25664"/>
    <w:rsid w:val="11AA6DB1"/>
    <w:rsid w:val="127B4D28"/>
    <w:rsid w:val="12BC340B"/>
    <w:rsid w:val="12E65140"/>
    <w:rsid w:val="152F4368"/>
    <w:rsid w:val="16570F0F"/>
    <w:rsid w:val="167D14CF"/>
    <w:rsid w:val="17A74689"/>
    <w:rsid w:val="17C2508C"/>
    <w:rsid w:val="189F7A56"/>
    <w:rsid w:val="18DC4016"/>
    <w:rsid w:val="194303E2"/>
    <w:rsid w:val="196D7BB4"/>
    <w:rsid w:val="1A644AB4"/>
    <w:rsid w:val="1AC14F6D"/>
    <w:rsid w:val="1AD604EC"/>
    <w:rsid w:val="1B5468D6"/>
    <w:rsid w:val="1C28386D"/>
    <w:rsid w:val="1D061E52"/>
    <w:rsid w:val="1D210A3A"/>
    <w:rsid w:val="1D952335"/>
    <w:rsid w:val="1E450758"/>
    <w:rsid w:val="1E4B73EA"/>
    <w:rsid w:val="1E9A2507"/>
    <w:rsid w:val="1F2B4E33"/>
    <w:rsid w:val="1FF266BE"/>
    <w:rsid w:val="20AF7B81"/>
    <w:rsid w:val="214F05E5"/>
    <w:rsid w:val="216B2BCB"/>
    <w:rsid w:val="23B27BA0"/>
    <w:rsid w:val="23E7524F"/>
    <w:rsid w:val="23E97DD8"/>
    <w:rsid w:val="24D10DE1"/>
    <w:rsid w:val="2564005E"/>
    <w:rsid w:val="25781413"/>
    <w:rsid w:val="25BA5ED0"/>
    <w:rsid w:val="261A071C"/>
    <w:rsid w:val="26664013"/>
    <w:rsid w:val="267C5024"/>
    <w:rsid w:val="268A3AF4"/>
    <w:rsid w:val="293D309F"/>
    <w:rsid w:val="294A4238"/>
    <w:rsid w:val="2973086F"/>
    <w:rsid w:val="29C0428D"/>
    <w:rsid w:val="2A3C6EB3"/>
    <w:rsid w:val="2AA9206F"/>
    <w:rsid w:val="2AB949A8"/>
    <w:rsid w:val="2B7D15E1"/>
    <w:rsid w:val="2DA17F46"/>
    <w:rsid w:val="2E1A367D"/>
    <w:rsid w:val="2EDB6FB6"/>
    <w:rsid w:val="2F2D326E"/>
    <w:rsid w:val="30F36EDD"/>
    <w:rsid w:val="31203A0A"/>
    <w:rsid w:val="31580A87"/>
    <w:rsid w:val="31C15D21"/>
    <w:rsid w:val="33143E83"/>
    <w:rsid w:val="334E5EA9"/>
    <w:rsid w:val="33B57CD6"/>
    <w:rsid w:val="33C17F1C"/>
    <w:rsid w:val="343E3545"/>
    <w:rsid w:val="34833930"/>
    <w:rsid w:val="34E92B56"/>
    <w:rsid w:val="35234530"/>
    <w:rsid w:val="3583008C"/>
    <w:rsid w:val="3611248A"/>
    <w:rsid w:val="372E04CB"/>
    <w:rsid w:val="37755CB2"/>
    <w:rsid w:val="37F55A83"/>
    <w:rsid w:val="3A1C0AAF"/>
    <w:rsid w:val="3AA94C1B"/>
    <w:rsid w:val="3B0B7012"/>
    <w:rsid w:val="3B7D1381"/>
    <w:rsid w:val="3BB61B00"/>
    <w:rsid w:val="3BE22204"/>
    <w:rsid w:val="3D4F2F4A"/>
    <w:rsid w:val="3DA63A02"/>
    <w:rsid w:val="3E9E6744"/>
    <w:rsid w:val="3EBF7C5B"/>
    <w:rsid w:val="3EC759AE"/>
    <w:rsid w:val="3EF91720"/>
    <w:rsid w:val="3F420925"/>
    <w:rsid w:val="41147A97"/>
    <w:rsid w:val="411945BE"/>
    <w:rsid w:val="412070D7"/>
    <w:rsid w:val="4182744A"/>
    <w:rsid w:val="41B93C8C"/>
    <w:rsid w:val="42246753"/>
    <w:rsid w:val="430976F7"/>
    <w:rsid w:val="43AC6E41"/>
    <w:rsid w:val="4442268F"/>
    <w:rsid w:val="448824A8"/>
    <w:rsid w:val="44BD67FB"/>
    <w:rsid w:val="44D854F2"/>
    <w:rsid w:val="461B5547"/>
    <w:rsid w:val="467F154A"/>
    <w:rsid w:val="46892F47"/>
    <w:rsid w:val="477D5193"/>
    <w:rsid w:val="48FA645F"/>
    <w:rsid w:val="49ED21BA"/>
    <w:rsid w:val="4AD4683C"/>
    <w:rsid w:val="4BEF6527"/>
    <w:rsid w:val="4D5C2911"/>
    <w:rsid w:val="4F044A8C"/>
    <w:rsid w:val="4F946F14"/>
    <w:rsid w:val="4FED5B40"/>
    <w:rsid w:val="50C1777E"/>
    <w:rsid w:val="51695F30"/>
    <w:rsid w:val="51903EDE"/>
    <w:rsid w:val="519F1952"/>
    <w:rsid w:val="51BE389E"/>
    <w:rsid w:val="52505342"/>
    <w:rsid w:val="525A0A68"/>
    <w:rsid w:val="525A1D1D"/>
    <w:rsid w:val="52EB0D4F"/>
    <w:rsid w:val="554D1F93"/>
    <w:rsid w:val="564B522F"/>
    <w:rsid w:val="564C1367"/>
    <w:rsid w:val="56B51C18"/>
    <w:rsid w:val="57053183"/>
    <w:rsid w:val="57F86C83"/>
    <w:rsid w:val="58103ED8"/>
    <w:rsid w:val="58360B36"/>
    <w:rsid w:val="58474AD2"/>
    <w:rsid w:val="59527BBB"/>
    <w:rsid w:val="5B0026CA"/>
    <w:rsid w:val="5B131DFB"/>
    <w:rsid w:val="5B825A02"/>
    <w:rsid w:val="5BFC5BF3"/>
    <w:rsid w:val="5D881E34"/>
    <w:rsid w:val="5DB33442"/>
    <w:rsid w:val="5E072D15"/>
    <w:rsid w:val="5E6576A7"/>
    <w:rsid w:val="5E6B33F1"/>
    <w:rsid w:val="5F117C07"/>
    <w:rsid w:val="5F20325D"/>
    <w:rsid w:val="5FA75063"/>
    <w:rsid w:val="5FD87748"/>
    <w:rsid w:val="5FF23BEF"/>
    <w:rsid w:val="608C7931"/>
    <w:rsid w:val="613207EC"/>
    <w:rsid w:val="61527636"/>
    <w:rsid w:val="61790979"/>
    <w:rsid w:val="62BA1765"/>
    <w:rsid w:val="62C572CE"/>
    <w:rsid w:val="63012C54"/>
    <w:rsid w:val="631B2E02"/>
    <w:rsid w:val="63524853"/>
    <w:rsid w:val="63BA6ABF"/>
    <w:rsid w:val="65E5637F"/>
    <w:rsid w:val="67584625"/>
    <w:rsid w:val="682B7F8C"/>
    <w:rsid w:val="685968A7"/>
    <w:rsid w:val="691427CE"/>
    <w:rsid w:val="69B83AA1"/>
    <w:rsid w:val="69C947A8"/>
    <w:rsid w:val="6A3F7D1E"/>
    <w:rsid w:val="6A5E154F"/>
    <w:rsid w:val="6A810ABD"/>
    <w:rsid w:val="6AD14A3F"/>
    <w:rsid w:val="6ADC37BF"/>
    <w:rsid w:val="6AF0720C"/>
    <w:rsid w:val="6BC11A44"/>
    <w:rsid w:val="6BD61FBC"/>
    <w:rsid w:val="6CFA617E"/>
    <w:rsid w:val="6D3439BB"/>
    <w:rsid w:val="6DFF5D25"/>
    <w:rsid w:val="6E20419B"/>
    <w:rsid w:val="6F5B015B"/>
    <w:rsid w:val="700C0AC5"/>
    <w:rsid w:val="703B2D36"/>
    <w:rsid w:val="707149AA"/>
    <w:rsid w:val="70985C15"/>
    <w:rsid w:val="709F49F7"/>
    <w:rsid w:val="716175C1"/>
    <w:rsid w:val="72C95783"/>
    <w:rsid w:val="731C67A1"/>
    <w:rsid w:val="732B40EE"/>
    <w:rsid w:val="73651FA7"/>
    <w:rsid w:val="74946763"/>
    <w:rsid w:val="76660B4B"/>
    <w:rsid w:val="77A64F39"/>
    <w:rsid w:val="77A67382"/>
    <w:rsid w:val="77CB499F"/>
    <w:rsid w:val="783E1615"/>
    <w:rsid w:val="789B25C4"/>
    <w:rsid w:val="78E026CC"/>
    <w:rsid w:val="79F75F20"/>
    <w:rsid w:val="7A0F3269"/>
    <w:rsid w:val="7A965738"/>
    <w:rsid w:val="7B4E0760"/>
    <w:rsid w:val="7BBD0AA3"/>
    <w:rsid w:val="7D1961AD"/>
    <w:rsid w:val="7E1362E6"/>
    <w:rsid w:val="7E8F6545"/>
    <w:rsid w:val="7EB828FF"/>
    <w:rsid w:val="7F3C6183"/>
    <w:rsid w:val="7FDC0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before="120" w:after="120"/>
      <w:ind w:firstLine="200" w:firstLineChars="200"/>
      <w:jc w:val="both"/>
    </w:pPr>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styleId="2">
    <w:name w:val="heading 1"/>
    <w:basedOn w:val="1"/>
    <w:next w:val="1"/>
    <w:qFormat/>
    <w:uiPriority w:val="9"/>
    <w:pPr>
      <w:spacing w:after="360" w:line="480" w:lineRule="exact"/>
      <w:ind w:firstLine="0" w:firstLineChars="0"/>
      <w:contextualSpacing/>
      <w:jc w:val="center"/>
      <w:outlineLvl w:val="0"/>
    </w:pPr>
    <w:rPr>
      <w:rFonts w:eastAsia="微软雅黑"/>
      <w:b/>
      <w:bCs/>
      <w:color w:val="0F243E"/>
      <w:sz w:val="32"/>
      <w:szCs w:val="22"/>
    </w:rPr>
  </w:style>
  <w:style w:type="paragraph" w:styleId="3">
    <w:name w:val="heading 2"/>
    <w:basedOn w:val="1"/>
    <w:next w:val="1"/>
    <w:unhideWhenUsed/>
    <w:qFormat/>
    <w:uiPriority w:val="0"/>
    <w:pPr>
      <w:numPr>
        <w:ilvl w:val="0"/>
        <w:numId w:val="1"/>
      </w:numPr>
      <w:spacing w:beforeLines="50" w:after="0"/>
      <w:ind w:firstLine="0" w:firstLineChars="0"/>
      <w:contextualSpacing/>
      <w:jc w:val="left"/>
      <w:outlineLvl w:val="1"/>
    </w:pPr>
    <w:rPr>
      <w:rFonts w:eastAsia="微软雅黑"/>
      <w:b/>
      <w:bCs/>
      <w:sz w:val="28"/>
      <w:szCs w:val="2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5"/>
    <w:qFormat/>
    <w:uiPriority w:val="0"/>
    <w:pPr>
      <w:jc w:val="left"/>
    </w:pPr>
  </w:style>
  <w:style w:type="paragraph" w:styleId="5">
    <w:name w:val="Balloon Text"/>
    <w:basedOn w:val="1"/>
    <w:link w:val="19"/>
    <w:qFormat/>
    <w:uiPriority w:val="0"/>
    <w:pPr>
      <w:spacing w:before="0" w:after="0"/>
    </w:pPr>
    <w:rPr>
      <w:sz w:val="18"/>
      <w:szCs w:val="18"/>
    </w:rPr>
  </w:style>
  <w:style w:type="paragraph" w:styleId="6">
    <w:name w:val="footer"/>
    <w:basedOn w:val="1"/>
    <w:link w:val="18"/>
    <w:qFormat/>
    <w:uiPriority w:val="0"/>
    <w:pPr>
      <w:tabs>
        <w:tab w:val="center" w:pos="4153"/>
        <w:tab w:val="right" w:pos="8306"/>
      </w:tabs>
      <w:snapToGrid w:val="0"/>
      <w:jc w:val="left"/>
    </w:pPr>
    <w:rPr>
      <w:sz w:val="18"/>
      <w:szCs w:val="18"/>
    </w:rPr>
  </w:style>
  <w:style w:type="paragraph" w:styleId="7">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link w:val="16"/>
    <w:qFormat/>
    <w:uiPriority w:val="0"/>
    <w:rPr>
      <w:b/>
      <w:bCs/>
    </w:rPr>
  </w:style>
  <w:style w:type="character" w:styleId="11">
    <w:name w:val="annotation reference"/>
    <w:basedOn w:val="10"/>
    <w:qFormat/>
    <w:uiPriority w:val="0"/>
    <w:rPr>
      <w:sz w:val="21"/>
      <w:szCs w:val="21"/>
    </w:rPr>
  </w:style>
  <w:style w:type="paragraph" w:styleId="12">
    <w:name w:val="List Paragraph"/>
    <w:basedOn w:val="1"/>
    <w:qFormat/>
    <w:uiPriority w:val="34"/>
    <w:pPr>
      <w:ind w:left="720"/>
      <w:contextualSpacing/>
    </w:pPr>
  </w:style>
  <w:style w:type="character" w:customStyle="1" w:styleId="13">
    <w:name w:val="font21"/>
    <w:basedOn w:val="10"/>
    <w:qFormat/>
    <w:uiPriority w:val="0"/>
    <w:rPr>
      <w:rFonts w:hint="eastAsia" w:ascii="宋体" w:hAnsi="宋体" w:eastAsia="宋体" w:cs="宋体"/>
      <w:color w:val="FF0000"/>
      <w:sz w:val="22"/>
      <w:szCs w:val="22"/>
      <w:u w:val="none"/>
    </w:rPr>
  </w:style>
  <w:style w:type="character" w:customStyle="1" w:styleId="14">
    <w:name w:val="font11"/>
    <w:basedOn w:val="10"/>
    <w:qFormat/>
    <w:uiPriority w:val="0"/>
    <w:rPr>
      <w:rFonts w:hint="eastAsia" w:ascii="宋体" w:hAnsi="宋体" w:eastAsia="宋体" w:cs="宋体"/>
      <w:color w:val="000000"/>
      <w:sz w:val="22"/>
      <w:szCs w:val="22"/>
      <w:u w:val="none"/>
    </w:rPr>
  </w:style>
  <w:style w:type="character" w:customStyle="1" w:styleId="15">
    <w:name w:val="批注文字 字符"/>
    <w:basedOn w:val="10"/>
    <w:link w:val="4"/>
    <w:qFormat/>
    <w:uiPriority w:val="0"/>
    <w:rPr>
      <w:iCs/>
      <w:color w:val="000000" w:themeColor="text1"/>
      <w:sz w:val="21"/>
      <w14:textFill>
        <w14:solidFill>
          <w14:schemeClr w14:val="tx1"/>
        </w14:solidFill>
      </w14:textFill>
    </w:rPr>
  </w:style>
  <w:style w:type="character" w:customStyle="1" w:styleId="16">
    <w:name w:val="批注主题 字符"/>
    <w:basedOn w:val="15"/>
    <w:link w:val="8"/>
    <w:qFormat/>
    <w:uiPriority w:val="0"/>
    <w:rPr>
      <w:b/>
      <w:bCs/>
      <w:color w:val="000000" w:themeColor="text1"/>
      <w:sz w:val="21"/>
      <w14:textFill>
        <w14:solidFill>
          <w14:schemeClr w14:val="tx1"/>
        </w14:solidFill>
      </w14:textFill>
    </w:rPr>
  </w:style>
  <w:style w:type="character" w:customStyle="1" w:styleId="17">
    <w:name w:val="页眉 字符"/>
    <w:basedOn w:val="10"/>
    <w:link w:val="7"/>
    <w:qFormat/>
    <w:uiPriority w:val="0"/>
    <w:rPr>
      <w:iCs/>
      <w:color w:val="000000" w:themeColor="text1"/>
      <w:sz w:val="18"/>
      <w:szCs w:val="18"/>
      <w14:textFill>
        <w14:solidFill>
          <w14:schemeClr w14:val="tx1"/>
        </w14:solidFill>
      </w14:textFill>
    </w:rPr>
  </w:style>
  <w:style w:type="character" w:customStyle="1" w:styleId="18">
    <w:name w:val="页脚 字符"/>
    <w:basedOn w:val="10"/>
    <w:link w:val="6"/>
    <w:qFormat/>
    <w:uiPriority w:val="0"/>
    <w:rPr>
      <w:iCs/>
      <w:color w:val="000000" w:themeColor="text1"/>
      <w:sz w:val="18"/>
      <w:szCs w:val="18"/>
      <w14:textFill>
        <w14:solidFill>
          <w14:schemeClr w14:val="tx1"/>
        </w14:solidFill>
      </w14:textFill>
    </w:rPr>
  </w:style>
  <w:style w:type="character" w:customStyle="1" w:styleId="19">
    <w:name w:val="批注框文本 字符"/>
    <w:basedOn w:val="10"/>
    <w:link w:val="5"/>
    <w:qFormat/>
    <w:uiPriority w:val="0"/>
    <w:rPr>
      <w:iCs/>
      <w:color w:val="000000" w:themeColor="text1"/>
      <w:sz w:val="18"/>
      <w:szCs w:val="18"/>
      <w14:textFill>
        <w14:solidFill>
          <w14:schemeClr w14:val="tx1"/>
        </w14:solidFill>
      </w14:textFill>
    </w:rPr>
  </w:style>
  <w:style w:type="paragraph" w:customStyle="1" w:styleId="20">
    <w:name w:val="修订1"/>
    <w:hidden/>
    <w:semiHidden/>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customStyle="1" w:styleId="21">
    <w:name w:val="修订2"/>
    <w:hidden/>
    <w:semiHidden/>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customStyle="1" w:styleId="22">
    <w:name w:val="修订3"/>
    <w:hidden/>
    <w:semiHidden/>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customStyle="1" w:styleId="23">
    <w:name w:val="修订4"/>
    <w:hidden/>
    <w:unhideWhenUsed/>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ntractReview xmlns="http://schemas.wps.cn/vas-ai-hub/contract-review">
  <reviewItems>
    <reviewItem>
      <errorID>da5df5d0-1593-4ae4-8512-1074609fc37d</errorID>
      <errorWord>功</errorWord>
      <group>L1_Word</group>
      <groupName>字词问题</groupName>
      <ability>L2_Typo</ability>
      <abilityName>字词错误</abilityName>
      <candidateList>
        <item>功能</item>
      </candidateList>
      <explain/>
      <paraID>74E49DA5</paraID>
      <start>67</start>
      <end>68</end>
      <status>ignored</status>
      <modifiedWord/>
      <trackRevisions>false</trackRevisions>
    </reviewItem>
    <reviewItem>
      <errorID>9349f1ea-a358-4948-aeec-2b385f2381e0</errorID>
      <errorWord>程</errorWord>
      <group>L1_Word</group>
      <groupName>字词问题</groupName>
      <ability>L2_Typo</ability>
      <abilityName>字词错误</abilityName>
      <candidateList>
        <item>程中</item>
      </candidateList>
      <explain/>
      <paraID>19E2EE9A</paraID>
      <start>118</start>
      <end>119</end>
      <status>ignored</status>
      <modifiedWord/>
      <trackRevisions>false</trackRevisions>
    </reviewItem>
    <reviewItem>
      <errorID>31a67397-26d7-41e2-ac19-c38079e4e0cb</errorID>
      <errorWord>，</errorWord>
      <group>L1_Word</group>
      <groupName>字词问题</groupName>
      <ability>L2_Typo</ability>
      <abilityName>字词错误</abilityName>
      <candidateList>
        <item>，对</item>
      </candidateList>
      <explain/>
      <paraID>5B6DD999</paraID>
      <start>44</start>
      <end>45</end>
      <status>ignored</status>
      <modifiedWord/>
      <trackRevisions>false</trackRevisions>
    </reviewItem>
    <reviewItem>
      <errorID>16fb013a-344e-460a-8397-d9d3950605e1</errorID>
      <errorWord>的</errorWord>
      <group>L1_Word</group>
      <groupName>字词问题</groupName>
      <ability>L2_DDD</ability>
      <abilityName>的地得用法</abilityName>
      <candidateList>
        <item>地</item>
      </candidateList>
      <explain>“地”常用于连接修饰语与动词性中心语，表示动作的方式、状态或程度。</explain>
      <paraID>56F97035</paraID>
      <start>140</start>
      <end>141</end>
      <status>ignored</status>
      <modifiedWord/>
      <trackRevisions>false</trackRevisions>
    </reviewItem>
    <reviewItem>
      <errorID>7f34c8e1-7d72-4a68-aa9b-8c07e060cda9</errorID>
      <errorWord>发光</errorWord>
      <group>L1_Word</group>
      <groupName>字词问题</groupName>
      <ability>L2_Typo</ability>
      <abilityName>字词错误</abilityName>
      <candidateList>
        <item>发现</item>
      </candidateList>
      <explain/>
      <paraID>6B6CC430</paraID>
      <start>0</start>
      <end>2</end>
      <status>ignored</status>
      <modifiedWord/>
      <trackRevisions>false</trackRevisions>
    </reviewItem>
    <reviewItem>
      <errorID>485b8c92-0951-4fb1-b3dd-bedf5ecae7de</errorID>
      <errorWord>班类药物</errorWord>
      <group>L1_Knowledge</group>
      <groupName>知识性问题</groupName>
      <ability>L2_Term</ability>
      <abilityName>专业术语</abilityName>
      <candidateList>
        <item>酶类药物</item>
      </candidateList>
      <explain/>
      <paraID>22B56339</paraID>
      <start>60</start>
      <end>64</end>
      <status>ignored</status>
      <modifiedWord/>
      <trackRevisions>false</trackRevisions>
    </reviewItem>
    <reviewItem>
      <errorID>347c3123-4035-400d-940e-02d79d20dd54</errorID>
      <errorWord>，</errorWord>
      <group>L1_Word</group>
      <groupName>字词问题</groupName>
      <ability>L2_Typo</ability>
      <abilityName>字词错误</abilityName>
      <candidateList>
        <item>，具</item>
      </candidateList>
      <explain/>
      <paraID>5BDCA31C</paraID>
      <start>23</start>
      <end>24</end>
      <status>ignored</status>
      <modifiedWord/>
      <trackRevisions>false</trackRevisions>
    </reviewItem>
    <reviewItem>
      <errorID>dd74468e-be71-4320-a63d-3846d7c1ff53</errorID>
      <errorWord>校方</errorWord>
      <group>L1_Word</group>
      <groupName>字词问题</groupName>
      <ability>L2_Typo</ability>
      <abilityName>字词错误</abilityName>
      <candidateList>
        <item>消费</item>
      </candidateList>
      <explain>〈动〉为了生产或生活需要而消耗物质财富：～品｜高～。</explain>
      <paraID>6EEFF4BB</paraID>
      <start>42</start>
      <end>44</end>
      <status>ignored</status>
      <modifiedWord/>
      <trackRevisions>false</trackRevisions>
    </reviewItem>
    <reviewItem>
      <errorID>65ce8a41-da39-45e1-a827-f7adcb370ea3</errorID>
      <errorWord>功</errorWord>
      <group>L1_Word</group>
      <groupName>字词问题</groupName>
      <ability>L2_Typo</ability>
      <abilityName>字词错误</abilityName>
      <candidateList>
        <item>功能</item>
      </candidateList>
      <explain/>
      <paraID>287168DE</paraID>
      <start>145</start>
      <end>146</end>
      <status>ignored</status>
      <modifiedWord/>
      <trackRevisions>false</trackRevisions>
    </reviewItem>
    <reviewItem>
      <errorID>aa44e18c-348e-48b9-b958-7e78beaa93f7</errorID>
      <errorWord>血清白蛋白</errorWord>
      <group>L1_Knowledge</group>
      <groupName>知识性问题</groupName>
      <ability>L2_Term</ability>
      <abilityName>专业术语</abilityName>
      <candidateList>
        <item>人血白蛋白</item>
      </candidateList>
      <explain>医学名词[血清白蛋白]为不规范表述或旧称，其规范书面表述为[人血白蛋白]。</explain>
      <paraID>335ADEF6</paraID>
      <start>6</start>
      <end>11</end>
      <status>ignored</status>
      <modifiedWord/>
      <trackRevisions>false</trackRevisions>
    </reviewItem>
    <reviewItem>
      <errorID>8a98c998-47b0-434b-9328-4511853d97a8</errorID>
      <errorWord>明胶</errorWord>
      <group>L1_Word</group>
      <groupName>字词问题</groupName>
      <ability>L2_Typo</ability>
      <abilityName>字词错误</abilityName>
      <candidateList>
        <item>凝胶</item>
      </candidateList>
      <explain/>
      <paraID> 381C6AC</paraID>
      <start>5</start>
      <end>7</end>
      <status>ignored</status>
      <modifiedWord/>
      <trackRevisions>false</trackRevisions>
    </reviewItem>
    <reviewItem>
      <errorID>550bf285-b077-4c04-ad29-781aa270037a</errorID>
      <errorWord>脂酶</errorWord>
      <group>L1_Word</group>
      <groupName>字词问题</groupName>
      <ability>L2_Typo</ability>
      <abilityName>字词错误</abilityName>
      <candidateList>
        <item>酯酶</item>
      </candidateList>
      <explain/>
      <paraID>1848594C</paraID>
      <start>6</start>
      <end>8</end>
      <status>ignored</status>
      <modifiedWord/>
      <trackRevisions>false</trackRevisions>
    </reviewItem>
    <reviewItem>
      <errorID>56b7b5a1-048c-4e2c-9277-06fb0f104cb4</errorID>
      <errorWord>脂酶</errorWord>
      <group>L1_Word</group>
      <groupName>字词问题</groupName>
      <ability>L2_Typo</ability>
      <abilityName>字词错误</abilityName>
      <candidateList>
        <item>酯酶</item>
      </candidateList>
      <explain/>
      <paraID>2A967108</paraID>
      <start>6</start>
      <end>8</end>
      <status>ignored</status>
      <modifiedWord/>
      <trackRevisions>false</trackRevisions>
    </reviewItem>
    <reviewItem>
      <errorID>c0050f74-06bf-41f0-9fc8-c300b4998384</errorID>
      <errorWord>脑梗塞</errorWord>
      <group>L1_Knowledge</group>
      <groupName>知识性问题</groupName>
      <ability>L2_Term</ability>
      <abilityName>专业术语</abilityName>
      <candidateList>
        <item>脑梗死</item>
      </candidateList>
      <explain>医学名词[脑梗塞]为不规范表述或旧称，其规范书面表述为[脑梗死]。</explain>
      <paraID>10AA9E30</paraID>
      <start>103</start>
      <end>106</end>
      <status>ignored</status>
      <modifiedWord/>
      <trackRevisions>false</trackRevisions>
    </reviewItem>
    <reviewItem>
      <errorID>a592ef41-fbbc-49df-ae31-1e489b3c53a3</errorID>
      <errorWord>利钠肽</errorWord>
      <group>L1_Knowledge</group>
      <groupName>知识性问题</groupName>
      <ability>L2_Term</ability>
      <abilityName>专业术语</abilityName>
      <candidateList>
        <item>利尿钠肽</item>
      </candidateList>
      <explain>医学名词[利钠肽]为不规范表述或旧称，其规范书面表述为[利尿钠肽]。</explain>
      <paraID>32477C7D</paraID>
      <start>2</start>
      <end>5</end>
      <status>ignored</status>
      <modifiedWord/>
      <trackRevisions>false</trackRevisions>
    </reviewItem>
    <reviewItem>
      <errorID>bba6a22b-f3ad-4a34-9919-e28a2fb4930d</errorID>
      <errorWord>利钠肽</errorWord>
      <group>L1_Knowledge</group>
      <groupName>知识性问题</groupName>
      <ability>L2_Term</ability>
      <abilityName>专业术语</abilityName>
      <candidateList>
        <item>利尿钠肽</item>
      </candidateList>
      <explain>医学名词[利钠肽]为不规范表述或旧称，其规范书面表述为[利尿钠肽]。</explain>
      <paraID>7B7F8419</paraID>
      <start>2</start>
      <end>5</end>
      <status>ignored</status>
      <modifiedWord/>
      <trackRevisions>false</trackRevisions>
    </reviewItem>
    <reviewItem>
      <errorID>b03d4999-5017-437c-b7fe-4f2d202241d6</errorID>
      <errorWord>或补体致</errorWord>
      <group>L1_Word</group>
      <groupName>字词问题</groupName>
      <ability>L2_Typo</ability>
      <abilityName>字词错误</abilityName>
      <candidateList>
        <item>或补体质</item>
      </candidateList>
      <explain/>
      <paraID>6B159241</paraID>
      <start>34</start>
      <end>38</end>
      <status>ignored</status>
      <modifiedWord/>
      <trackRevisions>false</trackRevisions>
    </reviewItem>
    <reviewItem>
      <errorID>4d5d5057-88d6-4fa3-bf65-79d27baa60e4</errorID>
      <errorWord>，</errorWord>
      <group>L1_Word</group>
      <groupName>字词问题</groupName>
      <ability>L2_Typo</ability>
      <abilityName>字词错误</abilityName>
      <candidateList>
        <item>，使</item>
      </candidateList>
      <explain/>
      <paraID>6B159241</paraID>
      <start>81</start>
      <end>82</end>
      <status>ignored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CEEF8B-9EAF-4B21-BC60-B518C4A929FD}">
  <ds:schemaRefs/>
</ds:datastoreItem>
</file>

<file path=customXml/itemProps3.xml><?xml version="1.0" encoding="utf-8"?>
<ds:datastoreItem xmlns:ds="http://schemas.openxmlformats.org/officeDocument/2006/customXml" ds:itemID="{9c4d72fb-2160-4b4f-b4c5-106c657f1f07}">
  <ds:schemaRefs/>
</ds:datastoreItem>
</file>

<file path=docProps/app.xml><?xml version="1.0" encoding="utf-8"?>
<Properties xmlns="http://schemas.openxmlformats.org/officeDocument/2006/extended-properties" xmlns:vt="http://schemas.openxmlformats.org/officeDocument/2006/docPropsVTypes">
  <Template>Normal</Template>
  <Pages>21</Pages>
  <Words>6831</Words>
  <Characters>7144</Characters>
  <Lines>518</Lines>
  <Paragraphs>313</Paragraphs>
  <TotalTime>2</TotalTime>
  <ScaleCrop>false</ScaleCrop>
  <LinksUpToDate>false</LinksUpToDate>
  <CharactersWithSpaces>7149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2025-09-15T08:27:00Z</dcterms:created>
  <dc:creator>一花一世界</dc:creator>
  <cp:lastModifiedBy>ZYL</cp:lastModifiedBy>
  <cp:lastPrinted>2025-09-15T07:20:00Z</cp:lastPrinted>
  <dcterms:modified xsi:type="dcterms:W3CDTF">2025-12-03T03:48:55Z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372661D7B3CC41B7AD15BC83D7CD6573_13</vt:lpwstr>
  </property>
  <property fmtid="{D5CDD505-2E9C-101B-9397-08002B2CF9AE}" pid="4" name="KSOTemplateDocerSaveRecord">
    <vt:lpwstr>eyJoZGlkIjoiZDMyNWRmZWU2YzQyNWIxMzkxNjgzZDg1YTI3MWMyZDUiLCJ1c2VySWQiOiIxMTU5MjUzNTY4In0=</vt:lpwstr>
  </property>
</Properties>
</file>