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7573F" w14:textId="77777777" w:rsidR="006D0E89" w:rsidRDefault="009C394B">
      <w:pPr>
        <w:widowControl/>
        <w:snapToGrid w:val="0"/>
        <w:spacing w:line="480" w:lineRule="exact"/>
        <w:jc w:val="left"/>
        <w:outlineLvl w:val="0"/>
        <w:rPr>
          <w:rFonts w:ascii="宋体" w:eastAsia="宋体" w:hAnsi="宋体" w:cs="Times New Roman"/>
          <w:bCs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bCs/>
          <w:iCs/>
          <w:kern w:val="0"/>
          <w:sz w:val="24"/>
          <w:szCs w:val="24"/>
        </w:rPr>
        <w:t>附件1</w:t>
      </w:r>
    </w:p>
    <w:p w14:paraId="4FF8FAB1" w14:textId="77777777" w:rsidR="006D0E89" w:rsidRDefault="009C394B">
      <w:pPr>
        <w:widowControl/>
        <w:snapToGrid w:val="0"/>
        <w:spacing w:line="480" w:lineRule="exact"/>
        <w:jc w:val="center"/>
        <w:outlineLvl w:val="0"/>
        <w:rPr>
          <w:rFonts w:ascii="宋体" w:eastAsia="宋体" w:hAnsi="宋体" w:cs="Times New Roman"/>
          <w:b/>
          <w:bCs/>
          <w:iCs/>
          <w:color w:val="000000" w:themeColor="text1"/>
          <w:kern w:val="0"/>
          <w:sz w:val="32"/>
          <w:szCs w:val="32"/>
        </w:rPr>
      </w:pPr>
      <w:r>
        <w:rPr>
          <w:rFonts w:ascii="宋体" w:eastAsia="宋体" w:hAnsi="宋体" w:cs="Times New Roman" w:hint="eastAsia"/>
          <w:b/>
          <w:bCs/>
          <w:iCs/>
          <w:color w:val="000000" w:themeColor="text1"/>
          <w:kern w:val="0"/>
          <w:sz w:val="32"/>
          <w:szCs w:val="32"/>
        </w:rPr>
        <w:t>中国高校产学研创新基金-数智创新与人才专项（二期）</w:t>
      </w:r>
    </w:p>
    <w:p w14:paraId="71699D18" w14:textId="77777777" w:rsidR="006D0E89" w:rsidRDefault="009C394B">
      <w:pPr>
        <w:widowControl/>
        <w:snapToGrid w:val="0"/>
        <w:spacing w:afterLines="100" w:after="312" w:line="480" w:lineRule="exact"/>
        <w:jc w:val="center"/>
        <w:outlineLvl w:val="0"/>
        <w:rPr>
          <w:rFonts w:ascii="宋体" w:eastAsia="宋体" w:hAnsi="宋体" w:cs="Times New Roman"/>
          <w:b/>
          <w:bCs/>
          <w:iCs/>
          <w:color w:val="000000" w:themeColor="text1"/>
          <w:kern w:val="0"/>
          <w:sz w:val="32"/>
          <w:szCs w:val="32"/>
        </w:rPr>
      </w:pPr>
      <w:r>
        <w:rPr>
          <w:rFonts w:ascii="宋体" w:eastAsia="宋体" w:hAnsi="宋体" w:cs="Times New Roman" w:hint="eastAsia"/>
          <w:b/>
          <w:bCs/>
          <w:iCs/>
          <w:color w:val="000000" w:themeColor="text1"/>
          <w:kern w:val="0"/>
          <w:sz w:val="32"/>
          <w:szCs w:val="32"/>
        </w:rPr>
        <w:t>申请指南说明</w:t>
      </w:r>
    </w:p>
    <w:p w14:paraId="1991B1B9" w14:textId="77777777" w:rsidR="006D0E89" w:rsidRPr="0097159F" w:rsidRDefault="009C394B">
      <w:pPr>
        <w:widowControl/>
        <w:snapToGrid w:val="0"/>
        <w:spacing w:line="480" w:lineRule="exact"/>
        <w:ind w:firstLineChars="200" w:firstLine="480"/>
        <w:rPr>
          <w:rFonts w:ascii="宋体" w:eastAsia="宋体" w:hAnsi="宋体"/>
          <w:color w:val="000000" w:themeColor="text1"/>
          <w:sz w:val="24"/>
          <w:szCs w:val="28"/>
        </w:rPr>
      </w:pPr>
      <w:r>
        <w:rPr>
          <w:rFonts w:ascii="宋体" w:eastAsia="宋体" w:hAnsi="宋体" w:hint="eastAsia"/>
          <w:color w:val="000000" w:themeColor="text1"/>
          <w:sz w:val="24"/>
        </w:rPr>
        <w:t>根据 《关于申报202</w:t>
      </w:r>
      <w:r>
        <w:rPr>
          <w:rFonts w:ascii="宋体" w:eastAsia="宋体" w:hAnsi="宋体"/>
          <w:color w:val="000000" w:themeColor="text1"/>
          <w:sz w:val="24"/>
        </w:rPr>
        <w:t>5</w:t>
      </w:r>
      <w:r>
        <w:rPr>
          <w:rFonts w:ascii="宋体" w:eastAsia="宋体" w:hAnsi="宋体" w:hint="eastAsia"/>
          <w:color w:val="000000" w:themeColor="text1"/>
          <w:sz w:val="24"/>
        </w:rPr>
        <w:t>年中国高校产学研创新基金的通知》（教科发中心函〔202</w:t>
      </w:r>
      <w:r>
        <w:rPr>
          <w:rFonts w:ascii="宋体" w:eastAsia="宋体" w:hAnsi="宋体"/>
          <w:color w:val="000000" w:themeColor="text1"/>
          <w:sz w:val="24"/>
        </w:rPr>
        <w:t>5</w:t>
      </w:r>
      <w:r>
        <w:rPr>
          <w:rFonts w:ascii="宋体" w:eastAsia="宋体" w:hAnsi="宋体" w:hint="eastAsia"/>
          <w:color w:val="000000" w:themeColor="text1"/>
          <w:sz w:val="24"/>
        </w:rPr>
        <w:t>〕</w:t>
      </w:r>
      <w:r>
        <w:rPr>
          <w:rFonts w:ascii="宋体" w:eastAsia="宋体" w:hAnsi="宋体"/>
          <w:color w:val="000000" w:themeColor="text1"/>
          <w:sz w:val="24"/>
        </w:rPr>
        <w:t>3</w:t>
      </w:r>
      <w:r>
        <w:rPr>
          <w:rFonts w:ascii="宋体" w:eastAsia="宋体" w:hAnsi="宋体" w:hint="eastAsia"/>
          <w:color w:val="000000" w:themeColor="text1"/>
          <w:sz w:val="24"/>
        </w:rPr>
        <w:t>号)的相关要求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，教育部高等学校科学研究发展中心与浪潮通用软件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有限公司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、知识加速（北京）科技有限公司联合设立“中国高校产学研创新基金-数智创新与人才专项（二期）”，支持教育行业在企业级PaaS平台、开源低代码、人工智能、大模型、大数据、智算平台、物联网、工业软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件、人力资源管理、人才培养等方向的科学研究和教学实践，</w:t>
      </w:r>
      <w:r w:rsidRPr="0097159F">
        <w:rPr>
          <w:rFonts w:ascii="宋体" w:eastAsia="宋体" w:hAnsi="宋体" w:hint="eastAsia"/>
          <w:color w:val="000000" w:themeColor="text1"/>
          <w:sz w:val="24"/>
          <w:szCs w:val="28"/>
        </w:rPr>
        <w:t>聚焦“AI驱动、产学研协同、成果转化”，强化校企合作、共建创新载体、推动成果落地等。</w:t>
      </w:r>
    </w:p>
    <w:p w14:paraId="1695C9A7" w14:textId="77777777" w:rsidR="006D0E89" w:rsidRPr="0097159F" w:rsidRDefault="009C394B">
      <w:pPr>
        <w:widowControl/>
        <w:spacing w:beforeLines="50" w:before="156" w:line="480" w:lineRule="exact"/>
        <w:ind w:firstLineChars="200" w:firstLine="560"/>
        <w:contextualSpacing/>
        <w:outlineLvl w:val="1"/>
        <w:rPr>
          <w:rFonts w:ascii="Times New Roman" w:eastAsia="微软雅黑" w:hAnsi="Times New Roman" w:cs="Times New Roman"/>
          <w:b/>
          <w:bCs/>
          <w:iCs/>
          <w:color w:val="000000" w:themeColor="text1"/>
          <w:kern w:val="0"/>
          <w:sz w:val="28"/>
        </w:rPr>
      </w:pPr>
      <w:r w:rsidRPr="0097159F">
        <w:rPr>
          <w:rFonts w:ascii="Times New Roman" w:eastAsia="微软雅黑" w:hAnsi="Times New Roman" w:cs="Times New Roman" w:hint="eastAsia"/>
          <w:b/>
          <w:bCs/>
          <w:iCs/>
          <w:color w:val="000000" w:themeColor="text1"/>
          <w:kern w:val="0"/>
          <w:sz w:val="28"/>
        </w:rPr>
        <w:t>一、课题说明</w:t>
      </w:r>
    </w:p>
    <w:p w14:paraId="493D596D" w14:textId="77777777" w:rsidR="006D0E89" w:rsidRPr="0097159F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1.“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数智创新与人才专项（二期）”，以科技变革促进教育变革，以开源及自主产权技术赋能教育教学、科研创新、人才培养及行业领域融合创新等，共同推进中国开源体系建设，支持高校基于开源平台进行创新研究。</w:t>
      </w:r>
    </w:p>
    <w:p w14:paraId="12CE4A83" w14:textId="77777777" w:rsidR="006D0E89" w:rsidRPr="0097159F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2.“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数智创新与人才专项（二期）”申请截止时间为202</w:t>
      </w: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6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3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31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日。计划执行时间为202</w:t>
      </w: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6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7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日～202</w:t>
      </w: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7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6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30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日，可根据课题复杂程度适度延长执行周期，最长不超过两年。</w:t>
      </w:r>
    </w:p>
    <w:p w14:paraId="473CB8FD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97159F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3.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“数智创新与人才专项（二期）” 每个立项课题提供</w:t>
      </w:r>
      <w:r>
        <w:rPr>
          <w:rFonts w:ascii="宋体" w:eastAsia="宋体" w:hAnsi="宋体" w:cs="宋体" w:hint="eastAsia"/>
          <w:kern w:val="0"/>
          <w:sz w:val="24"/>
          <w:szCs w:val="24"/>
        </w:rPr>
        <w:t>总经费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10万元至50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万元的课题研究经费及科研软硬件平台支持，其中课题研究经费5万元至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25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万元。</w:t>
      </w:r>
    </w:p>
    <w:p w14:paraId="7D748EE4" w14:textId="77777777" w:rsidR="006D0E89" w:rsidRDefault="009C394B">
      <w:pPr>
        <w:snapToGrid w:val="0"/>
        <w:spacing w:line="480" w:lineRule="exact"/>
        <w:ind w:firstLineChars="200" w:firstLine="48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4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.“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数智创新与人才专项（二期）”的课题的选题方向见表一。申请人选择课题方向进行申报，要求基于基金课题提供的技术及应用等进行研究（相关技术、应用和软硬件平台介绍见表二）。</w:t>
      </w:r>
    </w:p>
    <w:p w14:paraId="6D152FD7" w14:textId="77777777" w:rsidR="006D0E89" w:rsidRDefault="009C394B">
      <w:pPr>
        <w:widowControl/>
        <w:spacing w:line="500" w:lineRule="exact"/>
        <w:jc w:val="center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表一</w:t>
      </w:r>
      <w:r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  <w:t xml:space="preserve">  “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数智创新与人才专项（二期）”选题列表</w:t>
      </w:r>
    </w:p>
    <w:tbl>
      <w:tblPr>
        <w:tblW w:w="5058" w:type="pct"/>
        <w:jc w:val="center"/>
        <w:tblLook w:val="04A0" w:firstRow="1" w:lastRow="0" w:firstColumn="1" w:lastColumn="0" w:noHBand="0" w:noVBand="1"/>
      </w:tblPr>
      <w:tblGrid>
        <w:gridCol w:w="1130"/>
        <w:gridCol w:w="1842"/>
        <w:gridCol w:w="6095"/>
      </w:tblGrid>
      <w:tr w:rsidR="006D0E89" w14:paraId="488434EF" w14:textId="77777777">
        <w:trPr>
          <w:trHeight w:val="60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2A8EE8A5" w14:textId="77777777" w:rsidR="006D0E89" w:rsidRDefault="009C394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szCs w:val="21"/>
              </w:rPr>
              <w:t>方向编号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ED06A8E" w14:textId="77777777" w:rsidR="006D0E89" w:rsidRDefault="009C394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szCs w:val="21"/>
              </w:rPr>
              <w:t>课题方向</w:t>
            </w:r>
          </w:p>
        </w:tc>
        <w:tc>
          <w:tcPr>
            <w:tcW w:w="3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1344D07C" w14:textId="77777777" w:rsidR="006D0E89" w:rsidRDefault="009C394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szCs w:val="21"/>
              </w:rPr>
              <w:t>课题研究内容</w:t>
            </w:r>
          </w:p>
        </w:tc>
      </w:tr>
      <w:tr w:rsidR="006D0E89" w14:paraId="7ED53191" w14:textId="77777777">
        <w:trPr>
          <w:trHeight w:val="841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768BF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A01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3D2A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人工智能大模型研究试点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FFB0" w14:textId="77777777" w:rsidR="006D0E89" w:rsidRDefault="009C394B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以人工智能大模型技术为支撑，结合行业领域需求，探索基于大模型平台的工具、场景等研究试点，包括并不限于：教育教学、智能制造、绿色低碳、智慧医疗、智慧康养、智慧矿山、智慧水务、智慧粮储、能源化工、机械加工、生物医药、新材料等行业，包括并不限于：供应链、数字营销、财务、预算、科研、设计、管理、后勤、生产、办公协同等领域，推进研究成果试点运行，推进产业孵化及推广</w:t>
            </w:r>
          </w:p>
        </w:tc>
      </w:tr>
      <w:tr w:rsidR="006D0E89" w14:paraId="062A7E6B" w14:textId="77777777">
        <w:trPr>
          <w:trHeight w:val="1800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5C127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A02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E55B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开源低代码平台研究试点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4CC8" w14:textId="77777777" w:rsidR="006D0E89" w:rsidRDefault="009C394B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以开源低代码平台为支撑，结合行业领域的需求，探索基于低代码平台的流程与应用组件库、工具与场景等研究试点，研究方向覆盖但不限于：教育教学、智能制造、绿色低碳、智慧医疗、智慧康养、智慧矿山、智慧水务、智慧粮储、能源化工、机械加工、生物医药、新材料等行业，包括并不限于：供应链、数字营销、财务、预算、科研、设计、管理、后勤、生产、办公协同等领域，推进研究成果试点运行，推进产业孵化及推广。</w:t>
            </w:r>
          </w:p>
        </w:tc>
      </w:tr>
      <w:tr w:rsidR="006D0E89" w14:paraId="6976FFF1" w14:textId="77777777">
        <w:trPr>
          <w:trHeight w:val="1463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605F6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A03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7583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大数据、物联网研究试点</w:t>
            </w:r>
          </w:p>
        </w:tc>
        <w:tc>
          <w:tcPr>
            <w:tcW w:w="3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A03C" w14:textId="77777777" w:rsidR="006D0E89" w:rsidRDefault="009C394B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以大数据平台与物联网体系为支撑，深度融合人工智能、数字孪生等前沿技术，系统推进“Data+AI”双轮驱动的创新研究与行业试点。数据作为人工智能发展的核心根基，通过构建统一数据中台、提升物联感知与多源数据融合能力，为AI模型训练与场景应用提供高质量、高可信度的数据支撑。</w:t>
            </w:r>
            <w:r>
              <w:rPr>
                <w:rFonts w:ascii="Segoe UI" w:eastAsia="Segoe UI" w:hAnsi="Segoe UI" w:cs="Segoe UI"/>
                <w:color w:val="0F1115"/>
                <w:sz w:val="19"/>
                <w:szCs w:val="19"/>
                <w:shd w:val="clear" w:color="auto" w:fill="FFFFFF"/>
              </w:rPr>
              <w:t>研究方向覆盖但不限于以下行业与职能领域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：重点行业:教育教学、智能制造、绿色低碳、智慧医疗、智慧康养、智慧矿山、智慧水务、智慧粮储、能源化工、机械加工、生物医药、新材料等；核心环节：供应链、数字营销、财务与预算、科研与设计、管理决策、后勤保障、生产运营、办公协同等,</w:t>
            </w:r>
            <w:r>
              <w:rPr>
                <w:rFonts w:ascii="Segoe UI" w:eastAsia="Segoe UI" w:hAnsi="Segoe UI" w:cs="Segoe UI"/>
                <w:color w:val="0F1115"/>
                <w:sz w:val="19"/>
                <w:szCs w:val="19"/>
                <w:shd w:val="clear" w:color="auto" w:fill="FFFFFF"/>
              </w:rPr>
              <w:t>推动人工智能技术在典型场景中的深度应用与持续优化，实现研究成果的快速试点验证与产业化孵化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。</w:t>
            </w:r>
          </w:p>
        </w:tc>
      </w:tr>
      <w:tr w:rsidR="006D0E89" w14:paraId="3FF16B07" w14:textId="77777777">
        <w:trPr>
          <w:trHeight w:val="1275"/>
          <w:jc w:val="center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2EBB7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A04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9AE9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智能制造、智慧化工平台研究试点</w:t>
            </w:r>
          </w:p>
        </w:tc>
        <w:tc>
          <w:tcPr>
            <w:tcW w:w="3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21F3" w14:textId="77777777" w:rsidR="006D0E89" w:rsidRDefault="009C394B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以产业互联互通、大数据、AI 等技术驱动为手段，聚焦MOM、MES、WMS、QMS、LIMS、HSE、EMS、EAM等生产控制类软件的研发与实施、自动化产线与自动化物流设计与改造、智能立体仓库建设和机器人应用等，探索国产软件研发、创新、发展，实现国产软件的自主产权、生态协同、样板引领。同时联合龙头工业企业、院校，推进研究成果试点运行，支持产学研联合打造 “软件 + 硬件 + 场景” 一体化能力。</w:t>
            </w:r>
          </w:p>
        </w:tc>
      </w:tr>
      <w:tr w:rsidR="006D0E89" w14:paraId="67377E66" w14:textId="77777777">
        <w:trPr>
          <w:trHeight w:val="1500"/>
          <w:jc w:val="center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FF1E2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A0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5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803E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海岳大模型一体机智能算力创新研究试点</w:t>
            </w:r>
          </w:p>
        </w:tc>
        <w:tc>
          <w:tcPr>
            <w:tcW w:w="3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E592" w14:textId="77777777" w:rsidR="006D0E89" w:rsidRDefault="009C394B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依托浪潮海岳大模型一体机（集成国产高端算力集群），内置海岳大模型核心功能模块，面向科学研究、成果转化、教育教学、管理服务与人才培养等多类场景，推进智能计算资源的部署、开发与融合创新，共同构建智能算力创新平台或专项实验室。在高效算力支撑下，可重点开展以下研究方向：1.教育垂直领域大模型的关键技术攻关，包括行业知识治理、模型微调与轻量化部署；2.多模态数据融合分析、智能体系统开发以及提示词工程等前沿应用；3.大模型与智能制造、化工行业的协同与数据治理融合，推动工业智能升级。平台致力于将领先的大模型一体机技术与典型业务场景深度融合，支持产学研联合开展模型训练、应用孵化与成果落地，助力人工智能赋能产业创新与人才培养。</w:t>
            </w:r>
          </w:p>
        </w:tc>
      </w:tr>
      <w:tr w:rsidR="006D0E89" w14:paraId="1B8E705D" w14:textId="77777777">
        <w:trPr>
          <w:trHeight w:val="1620"/>
          <w:jc w:val="center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27350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A0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6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7B0E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企业定向课题联合攻关</w:t>
            </w:r>
          </w:p>
          <w:p w14:paraId="130342C4" w14:textId="77777777" w:rsidR="006D0E89" w:rsidRDefault="006D0E89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7635" w14:textId="77777777" w:rsidR="006D0E89" w:rsidRDefault="009C394B">
            <w:pPr>
              <w:ind w:firstLineChars="200" w:firstLine="400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围绕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企业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提出的实际业务痛点（如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科技创新、AI+行动、大型企业数智化底座建设（含信创国产化建设）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）开展定向研究，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聚焦三个方向,提供综合支持：1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对“高校+央企”联合课题形式的申报，给与更多支持；课题成果须在企业真实场景中试点，形成可复用产品服务；2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瞄准国家、行业和地方重大专项和攻关，支持与高校共同揭榜；3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优先支持已参与课题一期合作的高校，持续深化合作。</w:t>
            </w:r>
          </w:p>
        </w:tc>
      </w:tr>
      <w:tr w:rsidR="006D0E89" w14:paraId="6742D122" w14:textId="77777777">
        <w:trPr>
          <w:trHeight w:val="1620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43E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A0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C662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工业软件研究试点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9843" w14:textId="77777777" w:rsidR="006D0E89" w:rsidRDefault="009C394B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Theme="majorHAnsi" w:eastAsia="宋体" w:hAnsiTheme="majorHAnsi" w:cs="宋体"/>
                <w:color w:val="000000" w:themeColor="text1"/>
                <w:kern w:val="0"/>
                <w:sz w:val="20"/>
                <w:szCs w:val="20"/>
              </w:rPr>
              <w:t>以自主产权工业软件和开源低代码平台为支撑，联合龙头工业企业、院校，聚焦研发设计、生产控制、信息管理、运维管理、工业嵌入、工业集成等工业软件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的需求，探索既有工业软件（如CAE、CAD、PLM、MES、SCADA、MOM、WMS、SCM等）的消化吸收和安全能力提升，探索国产工业软件研发、创新、发展，实现工业软件的自主产权、生态协同、样板引领，培养复合型人才，推进研究成果试点运行，推进产业孵化及推广。</w:t>
            </w:r>
          </w:p>
          <w:p w14:paraId="59F33D25" w14:textId="77777777" w:rsidR="006D0E89" w:rsidRDefault="009C394B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1.CAD 领域技术攻坚与适配：拆解主流商用 CAD 软件核心功能，突破几何引擎、复杂曲面生成和设计算法、大型机械零部件装配、多格式模型数据交互（STEP/IGES/X_t 标准兼容）等关键技术，提升国产 CAD 在机械结构设计、房屋建筑领域等场景的适配性；结合开源低代码平台开发定制化插件（如标准化零件库调用、设计规范校验模块），实现设计与生产工艺数据无缝衔接；</w:t>
            </w:r>
          </w:p>
          <w:p w14:paraId="637DA98D" w14:textId="77777777" w:rsidR="006D0E89" w:rsidRDefault="009C394B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2.CAE 领域仿真与协同优化：完善国产通用有限元模块（结构、流体、热、电磁等），开展多物理场仿真（热流固耦合等）先进算法的研究，攻克网格剖分优化、求解器效率提升等难点；建立 CAE 与 CAD 模型双向关联机制，缩短 “设计 - 仿真 - 优化” 周期；针对汽车零部件、工程机械等行业，构建 CAE 仿真案例库与行业通用仿真标准，提升CAE仿真在工业研发时的实用性；借助深度学习、降阶建模等 AI 算法简化 CAE 高保真仿真模型，在装备结构强度分析、化工设备热力学耦合仿真等场景缩短仿真周期，满足工业产品快速迭代需求；探索AI技术在网格划分中的应用，实现网格自动生成与自适应加密；</w:t>
            </w:r>
          </w:p>
          <w:p w14:paraId="66DE82C0" w14:textId="77777777" w:rsidR="006D0E89" w:rsidRDefault="009C394B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3.国产 CAD/CAE 研发与生态构建：联合院校研发 CAD/CAE 底层核心算法（几何引擎、求解器），突破国外技术垄断；基于开源低代码平台提供标准化 API 与开发工具包，支持二次开发与个性化适配；建立软件测试验证体系，联合龙头企业开展标杆项目试点，实现国产 CAD/CAE 自主产权与生态协同；</w:t>
            </w:r>
          </w:p>
          <w:p w14:paraId="014AFB9C" w14:textId="77777777" w:rsidR="006D0E89" w:rsidRDefault="009C394B">
            <w:pPr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4.复合型人才培养：构建 “理论教学 - 软件实操 - 项目实战” 体系，开设 CAD/CAE 核心技术、工业软件应用等课程，提供国产软件实训环境；联合企业开展真实场景课题（机械结构优化、电子设备散热设计），推进校企联合培养，输送 “懂软件、会仿真”的复合型人才；</w:t>
            </w:r>
          </w:p>
          <w:p w14:paraId="058F5880" w14:textId="77777777" w:rsidR="006D0E89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5.成果试点与产业孵化：在机械制造、电子信息等行业开展 CAD/CAE 成果试点，验证国产软件与国外商软在软件功能、性能与适配方面的优劣；搭建产业孵化平台，提供技术支持与市场推广，推动应用方案落地；总结试点经验形成行业标准，加速国产 CAD/CAE 产业化推广。</w:t>
            </w:r>
          </w:p>
        </w:tc>
      </w:tr>
      <w:tr w:rsidR="006D0E89" w14:paraId="11B5183D" w14:textId="77777777">
        <w:trPr>
          <w:trHeight w:val="1620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0E3C0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bookmarkStart w:id="0" w:name="_Hlk216256120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A0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8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2A7A5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人力资源管理数字化实训的智能服务</w:t>
            </w:r>
          </w:p>
        </w:tc>
        <w:tc>
          <w:tcPr>
            <w:tcW w:w="3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605" w14:textId="45374CB1" w:rsidR="006D0E89" w:rsidRPr="0097159F" w:rsidRDefault="009C394B">
            <w:pPr>
              <w:ind w:firstLineChars="200" w:firstLine="400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依托自研大模型与开放生态能力，打造新一代人力智能体</w:t>
            </w: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“Moirai”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，提供全流程、全角色、全场景的</w:t>
            </w: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AI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人力资源解决方案，涵盖招聘管理、薪酬管理、考勤管理、绩效管理、人才发展、学习管理、就业服务及决策支持等，助力人力资源数智化转型，支持师生开展人力资源数字化实训实践。同时，积极推动产学研协同，共同探索</w:t>
            </w: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“AI+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人力资源</w:t>
            </w: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”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领域的应用孵化与成果落地。</w:t>
            </w:r>
          </w:p>
          <w:p w14:paraId="6214AD33" w14:textId="77777777" w:rsidR="006D0E89" w:rsidRPr="0097159F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重点方向包括：</w:t>
            </w:r>
          </w:p>
          <w:p w14:paraId="4E456022" w14:textId="77777777" w:rsidR="006D0E89" w:rsidRPr="0097159F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lastRenderedPageBreak/>
              <w:t>1、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打造覆盖学生就业与教师招聘的智慧服务平台，支持用人单位便捷入驻和发布招聘广告，优化学生应聘与教师求职体验，</w:t>
            </w: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拓展招聘智能服务，为高校及机构提供简历筛选、人岗匹配、智能邀约与数据分析等一站式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数字化应用</w:t>
            </w: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支持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；</w:t>
            </w:r>
          </w:p>
          <w:p w14:paraId="5685D3B0" w14:textId="77777777" w:rsidR="006D0E89" w:rsidRPr="0097159F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2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、提供人力资源管理业务沙盘，模拟真实招聘、选拔、绩效等业务场景与流程，服务于师生教学与实践；</w:t>
            </w:r>
          </w:p>
          <w:p w14:paraId="5D6F60EE" w14:textId="77777777" w:rsidR="0097159F" w:rsidRPr="0097159F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3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、与高校师生合作开展课题研究，例如：</w:t>
            </w:r>
          </w:p>
          <w:p w14:paraId="7D257EA8" w14:textId="77777777" w:rsidR="0097159F" w:rsidRPr="0097159F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 xml:space="preserve">3.1 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企业人力资源</w:t>
            </w: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AI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应用成熟度，对</w:t>
            </w: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HR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职责重塑的影响；</w:t>
            </w:r>
          </w:p>
          <w:p w14:paraId="6FCF4F7F" w14:textId="77777777" w:rsidR="0097159F" w:rsidRPr="0097159F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 xml:space="preserve">3.2 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人才招聘（含教师招聘）场景中</w:t>
            </w: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AI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的逐步渗透，对组织降本增效的作用；</w:t>
            </w:r>
          </w:p>
          <w:p w14:paraId="6716F0E2" w14:textId="14D5F972" w:rsidR="006D0E89" w:rsidRPr="0097159F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3.3 AI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在人力资源数字化中的应用，对人才供给速度与精准度的提升效果；</w:t>
            </w:r>
          </w:p>
          <w:p w14:paraId="72E68DC1" w14:textId="77777777" w:rsidR="006D0E89" w:rsidRPr="00BF0A0B" w:rsidRDefault="009C394B">
            <w:pPr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97159F"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4</w:t>
            </w:r>
            <w:r w:rsidRPr="0097159F"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、推动联合培养计划，共同培育新一代人力资源从业者和数字化从业者，通过共建课程与联合认证，提升学生技能。</w:t>
            </w:r>
          </w:p>
        </w:tc>
      </w:tr>
      <w:bookmarkEnd w:id="0"/>
      <w:tr w:rsidR="006D0E89" w14:paraId="5FB5A372" w14:textId="77777777" w:rsidTr="005C4F23">
        <w:trPr>
          <w:trHeight w:val="2845"/>
          <w:jc w:val="center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AC941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A0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7F96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产学研共同体创新试点</w:t>
            </w:r>
          </w:p>
        </w:tc>
        <w:tc>
          <w:tcPr>
            <w:tcW w:w="3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6F20" w14:textId="77777777" w:rsidR="006D0E89" w:rsidRDefault="009C394B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聚焦以下方向，面向师生，推进产学研融合创新，包括不限于：1.共建“联合课程”，联合开发，联合认证，服务于未来学校、未来教师、未来课堂、未来学习中心建设；2.共建“</w:t>
            </w:r>
            <w:bookmarkStart w:id="1" w:name="OLE_LINK28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实践实训</w:t>
            </w:r>
            <w:bookmarkEnd w:id="1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基地”，依托浪潮和1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00+政企客户及伙伴，服务师生实践实训；3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创新“校企双向奔赴”，推进高校专家兼职企业科学家，企业专家兼职院校导师，落实双导师机制；4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共建“联合实验室”，支持数据、算力、人才等资源共享；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5.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共建“可信教育档案”：支撑以上学习经历、成果、报告文档可信、可查、可验 ；6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签署“校企产学研共同体”协议，支撑以上目标分批分阶段落地。</w:t>
            </w:r>
          </w:p>
        </w:tc>
      </w:tr>
      <w:tr w:rsidR="006D0E89" w14:paraId="1C7F17D6" w14:textId="77777777" w:rsidTr="005C4F23">
        <w:trPr>
          <w:trHeight w:val="1961"/>
          <w:jc w:val="center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5AE7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bookmarkStart w:id="2" w:name="OLE_LINK6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A</w:t>
            </w:r>
            <w:bookmarkEnd w:id="2"/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10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8018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bookmarkStart w:id="3" w:name="OLE_LINK7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高校科技服务工作站试点</w:t>
            </w:r>
            <w:bookmarkEnd w:id="3"/>
          </w:p>
        </w:tc>
        <w:tc>
          <w:tcPr>
            <w:tcW w:w="3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198B" w14:textId="77777777" w:rsidR="006D0E89" w:rsidRDefault="009C394B">
            <w:pPr>
              <w:widowControl/>
              <w:spacing w:line="300" w:lineRule="exact"/>
              <w:ind w:firstLineChars="200" w:firstLine="400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依托相关平台，试点建设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高校科技服务工作站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，提供标准化知识产权及科研工具服务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包括：1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科技资源共享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推进数据、工具、服务的共建共享；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可信评价认证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包括专利评估、成果评估、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科技查新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报告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查收查引报告等；3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院校成果转化：对接市场企业，推进专利池合作、价值管理和转化；4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人才和学术合作：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开展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课程、证书、实践实训、学术交流等合作。</w:t>
            </w:r>
          </w:p>
        </w:tc>
      </w:tr>
      <w:tr w:rsidR="006D0E89" w14:paraId="22DB2052" w14:textId="77777777" w:rsidTr="005C4F23">
        <w:trPr>
          <w:trHeight w:val="3833"/>
          <w:jc w:val="center"/>
        </w:trPr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10959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A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11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6E25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教育综合学习档案试点</w:t>
            </w:r>
          </w:p>
        </w:tc>
        <w:tc>
          <w:tcPr>
            <w:tcW w:w="3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42E85" w14:textId="77777777" w:rsidR="006D0E89" w:rsidRDefault="009C394B" w:rsidP="0097159F">
            <w:pPr>
              <w:pStyle w:val="p1"/>
              <w:widowControl/>
              <w:ind w:firstLineChars="200" w:firstLine="400"/>
              <w:jc w:val="both"/>
              <w:rPr>
                <w:rFonts w:ascii="宋体" w:eastAsia="宋体" w:hAnsi="宋体" w:cs="宋体"/>
                <w:color w:val="000000" w:themeColor="text1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教育综合学习档案，面向高校、师生、产学研伙伴及社会公众，提供教育数据的存储、溯源、查询、核验认证等公共服务，支撑学术数据、学习成果、学习记录的全生命周期管理。四块功能：一是档案馆，全程溯源，构建可信数据档案库；二是公证处，提供数据查询、核验认证，支撑申报、评审、人才等场景；三是简历库，生成可共享的教育/学术履历，记录成长轨迹，助力职业发展；四是生态服务站，支持</w:t>
            </w:r>
            <w:bookmarkStart w:id="4" w:name="OLE_LINK29"/>
            <w:r>
              <w:rPr>
                <w:rFonts w:ascii="宋体" w:eastAsia="宋体" w:hAnsi="宋体" w:cs="宋体" w:hint="eastAsia"/>
                <w:sz w:val="20"/>
                <w:szCs w:val="20"/>
              </w:rPr>
              <w:t>伙伴依规接入，构建产学研共赢生态。</w:t>
            </w:r>
            <w:bookmarkEnd w:id="4"/>
            <w:r>
              <w:rPr>
                <w:rFonts w:ascii="宋体" w:eastAsia="宋体" w:hAnsi="宋体" w:cs="宋体" w:hint="eastAsia"/>
                <w:sz w:val="20"/>
                <w:szCs w:val="20"/>
              </w:rPr>
              <w:t>数据涵盖：学术成果（科技查新报告、查收查引证明、科研成果报告、学术评估报告等）、教育轨迹（课程学习记录、实践实训档案、联合培养成果等）、发展历程（竞赛展演证明、社团活动记录、校企合作成果、人才评价报告等）和个性化档案（支持自定义）等。</w:t>
            </w:r>
          </w:p>
        </w:tc>
      </w:tr>
    </w:tbl>
    <w:p w14:paraId="64A096D9" w14:textId="77777777" w:rsidR="006D0E89" w:rsidRDefault="006D0E89">
      <w:pPr>
        <w:widowControl/>
        <w:spacing w:line="500" w:lineRule="exact"/>
        <w:jc w:val="center"/>
        <w:rPr>
          <w:rFonts w:ascii="宋体" w:eastAsia="宋体" w:hAnsi="宋体" w:cs="宋体"/>
          <w:b/>
          <w:kern w:val="0"/>
          <w:sz w:val="24"/>
          <w:szCs w:val="24"/>
        </w:rPr>
      </w:pPr>
    </w:p>
    <w:p w14:paraId="1D08848A" w14:textId="77777777" w:rsidR="006D0E89" w:rsidRDefault="009C394B">
      <w:pPr>
        <w:widowControl/>
        <w:spacing w:line="480" w:lineRule="exact"/>
        <w:ind w:firstLineChars="200" w:firstLine="560"/>
        <w:contextualSpacing/>
        <w:jc w:val="left"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Times New Roman" w:eastAsia="微软雅黑" w:hAnsi="Times New Roman" w:cs="Times New Roman" w:hint="eastAsia"/>
          <w:b/>
          <w:bCs/>
          <w:iCs/>
          <w:kern w:val="0"/>
          <w:sz w:val="28"/>
        </w:rPr>
        <w:lastRenderedPageBreak/>
        <w:t>二、申报条件和要求</w:t>
      </w:r>
    </w:p>
    <w:p w14:paraId="4D50341D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1. 团队成员在选定的研究课题方向有较好的技术储备，包括与申报课题研究内容相关的研究成果、教材、论文、专利、获奖等。</w:t>
      </w:r>
    </w:p>
    <w:p w14:paraId="7BF3F306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 团队组成合理，分工明确，数量不少于3人。</w:t>
      </w:r>
    </w:p>
    <w:p w14:paraId="5032DB42" w14:textId="77777777" w:rsidR="006D0E89" w:rsidRPr="0097159F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3. 优先支持已经设立企业级PaaS平台、开源低代码、人工智能、大模型、大数据、智算平台、物联网、工业软件、</w:t>
      </w:r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人力资源管理、人才培养等相关专业或者已经成立相关研究中心的院校。</w:t>
      </w:r>
    </w:p>
    <w:p w14:paraId="5A4B5899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4. 优先支持研究内容有创造性、前瞻性和实用性，有商业化前景的课题。</w:t>
      </w:r>
    </w:p>
    <w:p w14:paraId="270C83BB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. 优先支持有明确研究成果，成果有应用价值，可复制、可推广的课题，不支持纯理论研究。</w:t>
      </w:r>
    </w:p>
    <w:p w14:paraId="536AE71F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kern w:val="0"/>
          <w:sz w:val="24"/>
          <w:szCs w:val="24"/>
        </w:rPr>
        <w:t>. 优先支持研究方向明确，研究内容详实，研究方案完整可行的课题。</w:t>
      </w:r>
    </w:p>
    <w:p w14:paraId="726F186D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 xml:space="preserve">7. </w:t>
      </w:r>
      <w:r>
        <w:rPr>
          <w:rFonts w:ascii="宋体" w:eastAsia="宋体" w:hAnsi="宋体" w:cs="宋体" w:hint="eastAsia"/>
          <w:kern w:val="0"/>
          <w:sz w:val="24"/>
          <w:szCs w:val="24"/>
        </w:rPr>
        <w:t>优先支持“院校+企业”联合申报，需明确对接企业实际业务场景（如：人工智能场景化应用、智能制造产线改造、能源数字化管理等）。</w:t>
      </w:r>
    </w:p>
    <w:p w14:paraId="6E5954D2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8</w:t>
      </w:r>
      <w:r>
        <w:rPr>
          <w:rFonts w:ascii="宋体" w:eastAsia="宋体" w:hAnsi="宋体" w:cs="宋体" w:hint="eastAsia"/>
          <w:kern w:val="0"/>
          <w:sz w:val="24"/>
          <w:szCs w:val="24"/>
        </w:rPr>
        <w:t>.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申请人应客观、真实地填写申请书，没有知识产权争议，遵守国家有关知识产权法规。在课题申请</w:t>
      </w:r>
      <w:r>
        <w:rPr>
          <w:rFonts w:ascii="宋体" w:eastAsia="宋体" w:hAnsi="宋体" w:cs="宋体"/>
          <w:kern w:val="0"/>
          <w:sz w:val="24"/>
          <w:szCs w:val="24"/>
        </w:rPr>
        <w:t>书</w:t>
      </w:r>
      <w:r>
        <w:rPr>
          <w:rFonts w:ascii="宋体" w:eastAsia="宋体" w:hAnsi="宋体" w:cs="宋体" w:hint="eastAsia"/>
          <w:kern w:val="0"/>
          <w:sz w:val="24"/>
          <w:szCs w:val="24"/>
        </w:rPr>
        <w:t>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。</w:t>
      </w:r>
    </w:p>
    <w:p w14:paraId="6950CE31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9</w:t>
      </w:r>
      <w:r>
        <w:rPr>
          <w:rFonts w:ascii="宋体" w:eastAsia="宋体" w:hAnsi="宋体" w:cs="宋体" w:hint="eastAsia"/>
          <w:kern w:val="0"/>
          <w:sz w:val="24"/>
          <w:szCs w:val="24"/>
        </w:rPr>
        <w:t>.</w:t>
      </w:r>
      <w:r>
        <w:rPr>
          <w:rFonts w:ascii="宋体" w:eastAsia="宋体" w:hAnsi="宋体" w:cs="宋体"/>
          <w:kern w:val="0"/>
          <w:sz w:val="24"/>
          <w:szCs w:val="24"/>
        </w:rPr>
        <w:t>资助课题获得的知识产权由</w:t>
      </w:r>
      <w:r>
        <w:rPr>
          <w:rFonts w:ascii="宋体" w:eastAsia="宋体" w:hAnsi="宋体" w:cs="宋体" w:hint="eastAsia"/>
          <w:kern w:val="0"/>
          <w:sz w:val="24"/>
          <w:szCs w:val="24"/>
        </w:rPr>
        <w:t>资助方</w:t>
      </w:r>
      <w:r>
        <w:rPr>
          <w:rFonts w:ascii="宋体" w:eastAsia="宋体" w:hAnsi="宋体" w:cs="宋体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</w:rPr>
        <w:t>课题</w:t>
      </w:r>
      <w:r>
        <w:rPr>
          <w:rFonts w:ascii="宋体" w:eastAsia="宋体" w:hAnsi="宋体" w:cs="宋体"/>
          <w:kern w:val="0"/>
          <w:sz w:val="24"/>
          <w:szCs w:val="24"/>
        </w:rPr>
        <w:t>承担单位共同所有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1DA1A8AF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</w:rPr>
        <w:t>.课题组需具备可独立支配的课题研究基础软硬件条件。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6CBAF68F" w14:textId="77777777" w:rsidR="006D0E89" w:rsidRDefault="009C394B">
      <w:pPr>
        <w:widowControl/>
        <w:spacing w:line="480" w:lineRule="exact"/>
        <w:ind w:firstLineChars="200" w:firstLine="560"/>
        <w:contextualSpacing/>
        <w:jc w:val="left"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Times New Roman" w:eastAsia="微软雅黑" w:hAnsi="Times New Roman" w:cs="Times New Roman" w:hint="eastAsia"/>
          <w:b/>
          <w:bCs/>
          <w:iCs/>
          <w:kern w:val="0"/>
          <w:sz w:val="28"/>
        </w:rPr>
        <w:t>三、资源及服务</w:t>
      </w:r>
    </w:p>
    <w:p w14:paraId="71405952" w14:textId="77777777" w:rsidR="006D0E89" w:rsidRDefault="009C394B">
      <w:pPr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浪潮集团是中国领先的云计算、大数据服务商，为全球一百二十多个国家和地区提供</w:t>
      </w:r>
      <w:r>
        <w:rPr>
          <w:rFonts w:ascii="宋体" w:eastAsia="宋体" w:hAnsi="宋体" w:cs="宋体"/>
          <w:kern w:val="0"/>
          <w:sz w:val="24"/>
          <w:szCs w:val="24"/>
        </w:rPr>
        <w:t>IT产品和服务</w:t>
      </w:r>
      <w:r>
        <w:rPr>
          <w:rFonts w:ascii="宋体" w:eastAsia="宋体" w:hAnsi="宋体" w:cs="宋体" w:hint="eastAsia"/>
          <w:kern w:val="0"/>
          <w:sz w:val="24"/>
          <w:szCs w:val="24"/>
        </w:rPr>
        <w:t>。浪潮通用软件有限公司是浪潮集团下属企业，是中国领先的企业软件与云服务提供商，企业数字化转型优秀服务商，智能制造解决方案供应商，唯一承担三部委智能</w:t>
      </w:r>
      <w:r>
        <w:rPr>
          <w:rFonts w:ascii="宋体" w:eastAsia="宋体" w:hAnsi="宋体" w:cs="宋体"/>
          <w:kern w:val="0"/>
          <w:sz w:val="24"/>
          <w:szCs w:val="24"/>
        </w:rPr>
        <w:t>ERP国家科技项目厂商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，多次</w:t>
      </w:r>
      <w:r>
        <w:rPr>
          <w:rFonts w:ascii="宋体" w:eastAsia="宋体" w:hAnsi="宋体" w:cs="宋体"/>
          <w:kern w:val="0"/>
          <w:sz w:val="24"/>
          <w:szCs w:val="24"/>
        </w:rPr>
        <w:t>承担</w:t>
      </w:r>
      <w:r>
        <w:rPr>
          <w:rFonts w:ascii="宋体" w:eastAsia="宋体" w:hAnsi="宋体" w:cs="宋体" w:hint="eastAsia"/>
          <w:kern w:val="0"/>
          <w:sz w:val="24"/>
          <w:szCs w:val="24"/>
        </w:rPr>
        <w:t>部级及以上</w:t>
      </w:r>
      <w:r>
        <w:rPr>
          <w:rFonts w:ascii="宋体" w:eastAsia="宋体" w:hAnsi="宋体" w:cs="宋体"/>
          <w:kern w:val="0"/>
          <w:sz w:val="24"/>
          <w:szCs w:val="24"/>
        </w:rPr>
        <w:t>重点研发计划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/>
          <w:kern w:val="0"/>
          <w:sz w:val="24"/>
          <w:szCs w:val="24"/>
        </w:rPr>
        <w:t>科研项目。累计申请专利2000余项，发明专利占比98%；牵头或参与国际、国家等各类标准制定51项。</w:t>
      </w:r>
      <w:r>
        <w:rPr>
          <w:rFonts w:ascii="宋体" w:eastAsia="宋体" w:hAnsi="宋体" w:cs="宋体" w:hint="eastAsia"/>
          <w:kern w:val="0"/>
          <w:sz w:val="24"/>
          <w:szCs w:val="24"/>
        </w:rPr>
        <w:t>为7</w:t>
      </w:r>
      <w:r>
        <w:rPr>
          <w:rFonts w:ascii="宋体" w:eastAsia="宋体" w:hAnsi="宋体" w:cs="宋体"/>
          <w:kern w:val="0"/>
          <w:sz w:val="24"/>
          <w:szCs w:val="24"/>
        </w:rPr>
        <w:t>9</w:t>
      </w:r>
      <w:r>
        <w:rPr>
          <w:rFonts w:ascii="宋体" w:eastAsia="宋体" w:hAnsi="宋体" w:cs="宋体" w:hint="eastAsia"/>
          <w:kern w:val="0"/>
          <w:sz w:val="24"/>
          <w:szCs w:val="24"/>
        </w:rPr>
        <w:t>户央企，</w:t>
      </w:r>
      <w:r>
        <w:rPr>
          <w:rFonts w:ascii="宋体" w:eastAsia="宋体" w:hAnsi="宋体" w:cs="宋体"/>
          <w:kern w:val="0"/>
          <w:sz w:val="24"/>
          <w:szCs w:val="24"/>
        </w:rPr>
        <w:t>190</w:t>
      </w:r>
      <w:r>
        <w:rPr>
          <w:rFonts w:ascii="宋体" w:eastAsia="宋体" w:hAnsi="宋体" w:cs="宋体" w:hint="eastAsia"/>
          <w:kern w:val="0"/>
          <w:sz w:val="24"/>
          <w:szCs w:val="24"/>
        </w:rPr>
        <w:t>家中国500强，120万家客户提供数字化转型服务。</w:t>
      </w:r>
    </w:p>
    <w:p w14:paraId="581DC72A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针对入选合作院校，基金将提供完善的资源和服务体系，以保证院校顺利开展合作课题，并为院校在企业级PaaS平台、开源低代码、人工智能、大模型、大数据、智算</w:t>
      </w: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平台、物联网、工业软件、</w:t>
      </w:r>
      <w:bookmarkStart w:id="5" w:name="_GoBack"/>
      <w:r w:rsidRPr="0097159F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人力资源管理、人才培</w:t>
      </w:r>
      <w:bookmarkEnd w:id="5"/>
      <w:r>
        <w:rPr>
          <w:rFonts w:ascii="宋体" w:eastAsia="宋体" w:hAnsi="宋体" w:cs="宋体" w:hint="eastAsia"/>
          <w:kern w:val="0"/>
          <w:sz w:val="24"/>
          <w:szCs w:val="24"/>
        </w:rPr>
        <w:t>养等方向的科学研究和教学实践，为技术应用创新、数实融合、产业升级和高质量发展提供长期有效的支持。</w:t>
      </w:r>
    </w:p>
    <w:p w14:paraId="225AAB1D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1.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数智创新与人才专项（二期）”为每个立项课题提供对应的研究经费及科研软硬件平台支持，为申报团队提供创新项目选题指导，并根据需求开展服务校方等工作。</w:t>
      </w:r>
    </w:p>
    <w:p w14:paraId="142DA4FF" w14:textId="77777777" w:rsidR="006D0E89" w:rsidRDefault="009C394B">
      <w:pPr>
        <w:widowControl/>
        <w:spacing w:line="48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项目发起单位将辅助、联合申报院校申报新的科研课题，提供项目咨询服务和技术支持，辅助科研成果的快速产品化及解决方案的包装。</w:t>
      </w:r>
    </w:p>
    <w:p w14:paraId="682B37CE" w14:textId="77777777" w:rsidR="006D0E89" w:rsidRDefault="009C394B">
      <w:pPr>
        <w:adjustRightInd w:val="0"/>
        <w:snapToGrid w:val="0"/>
        <w:spacing w:afterLines="50" w:after="156" w:line="480" w:lineRule="exact"/>
        <w:jc w:val="center"/>
        <w:rPr>
          <w:rFonts w:ascii="宋体" w:eastAsia="宋体" w:hAnsi="宋体"/>
          <w:b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表二 提供给课题研究的软硬件服务说明</w:t>
      </w:r>
    </w:p>
    <w:tbl>
      <w:tblPr>
        <w:tblW w:w="5066" w:type="pct"/>
        <w:jc w:val="center"/>
        <w:tblLook w:val="04A0" w:firstRow="1" w:lastRow="0" w:firstColumn="1" w:lastColumn="0" w:noHBand="0" w:noVBand="1"/>
      </w:tblPr>
      <w:tblGrid>
        <w:gridCol w:w="709"/>
        <w:gridCol w:w="1700"/>
        <w:gridCol w:w="6662"/>
      </w:tblGrid>
      <w:tr w:rsidR="006D0E89" w14:paraId="6E4DA8C9" w14:textId="77777777">
        <w:trPr>
          <w:trHeight w:val="290"/>
          <w:jc w:val="center"/>
        </w:trPr>
        <w:tc>
          <w:tcPr>
            <w:tcW w:w="3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71CCC3B2" w14:textId="77777777" w:rsidR="006D0E89" w:rsidRDefault="009C394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平台编号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1CEF86E0" w14:textId="77777777" w:rsidR="006D0E89" w:rsidRDefault="009C394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软硬件服务名称</w:t>
            </w:r>
          </w:p>
        </w:tc>
        <w:tc>
          <w:tcPr>
            <w:tcW w:w="367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69A1989E" w14:textId="77777777" w:rsidR="006D0E89" w:rsidRDefault="009C394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详细介绍</w:t>
            </w:r>
          </w:p>
        </w:tc>
      </w:tr>
      <w:tr w:rsidR="006D0E89" w14:paraId="3A521CE5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9A8715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B01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13288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系统管理组件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32A36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系统管理组件提供软件系统的基础能力，实现了组织、用户、权限设置与管理功能，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D0E89" w14:paraId="43DDF509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767F8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B02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8CD6D8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开发环境组件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51AB1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发环境组件提供高校应用开发环境，包含丰富的前端设计器及公共组件，以及各类后端服务。具备各类元数据开发建模的可视化设计建模工具，并提供开发内容的编辑与编译功能，实现模型编译、源码生成、运行调试与应用发布。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D0E89" w14:paraId="09376AD8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A5C758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B03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AFCBA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表单设计器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90C5D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表单设计器提供基于WEB浏览器的可视化表单设计器，用户只需Web浏览器就可以通过可视化、拖拉拽的方式完成表单的建模定义与界面布局设计等，操作方便快捷。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D0E89" w14:paraId="2C4AD3CB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C5A9E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B04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21498E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低代码模型设计器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6AA91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模型设计器提供40种以上开发模型的可视化开发、建模工具，能够全面覆盖UI展现层、API服务层、BFF前后端适配层、业务流程层、领域服务层与持久化层，内置大量的可重用技术构件、业务构件、开发模板等软件资产库，方便用户建模。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D0E89" w14:paraId="3D04F6DF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EF260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B05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28316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模型管理组件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352A6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模型管理组件提供开发应用模型的全生命周期管理，包括模型的创建，模型工程化管理，模型工程编译，模型运行时解析等，用户可轻松实现模型设计的新增、修改、依赖建立、依赖查找、编译打包。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D0E89" w14:paraId="5BA5BF7F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8F129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B06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D1EBF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流程设计器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0E276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程设计器提供完全符合BPMN2.0规范的图形化流程设计器，用户只需web浏览器就可以通过可视化、拖拉拽的方式完成审批作流的建模定义，操作方便快捷。在流程设计过程中支持顺序、分支、合并、人工、自动，子流程等等多种基本流程模式，以及自由流、加签，会签，回退、跳转、代理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等多种特殊流程模式。可支持高校师生灵活开展应用开发、教学、实践，是低代码开发平台的成员组件。低代码平台是浪潮为高校提供的一站式自主产权、开源、应用开发平台。提供基础版，限院校本课题研究使用。</w:t>
            </w:r>
          </w:p>
        </w:tc>
      </w:tr>
      <w:tr w:rsidR="006D0E89" w14:paraId="29EDC34D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F61D5C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B07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A6D33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流程实例管理组件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E642E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程实例管理组件提供流程实例的流程定义、版本、摘要、状态、发起人、开始时间、结束时间、当前节点、当前办理人等信息，用户可以对运行中的流程实例进行监控、管理、挂起、复活、终止等干预，也可以查看已经结束的流程实例。可支持高校师生灵活开展应用开发、教学、实践，是低代码开发平台的成员组件，低代码平台是浪潮为高校提供的一站式自主产权、开源、应用开发平台。提供基础版，限院校本课题研究使用。</w:t>
            </w:r>
          </w:p>
        </w:tc>
      </w:tr>
      <w:tr w:rsidR="006D0E89" w14:paraId="3C81F40D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AAF06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B08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48BBFA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识别智能版服务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84874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识别智能版服务是浪潮为高校提供的人工智能OCR识别技术，提供了多场景、多语种、高精度的OCR文字检测与识别服务，能够覆盖多种通用场景、多种语言的高精度整图文字检测和识别服务，包括各类印刷和手写文档、网络图片、表格、数字、二维码等。广泛适用于文献文档电子化等场景。提供基础版，限院校本课题研究使用。</w:t>
            </w:r>
          </w:p>
        </w:tc>
      </w:tr>
      <w:tr w:rsidR="006D0E89" w14:paraId="011DE9EE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D31B7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B09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22F51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基于大模型的智能问答平台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AFDDB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能问答平台是浪潮为高校提供的基于大模型的智能问答服务，支持自然场景下交流文本的意图检测、语义识别及关键词提取，短语、句子等不同粒度的底层能力，为高校师生提供基于自然语言描述的交互入口，可支持高校师生对人工智能、大模型的教学、探索。提供基础版，限院校本课题研究使用。</w:t>
            </w:r>
          </w:p>
        </w:tc>
      </w:tr>
      <w:tr w:rsidR="006D0E89" w14:paraId="1DACA4FD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3D9BE9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B10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075E5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BI数据分析工具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9463E8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I数据分析工具是浪潮为高校提供的一站式数据可视化分析工具，包含数据集定义、部件定义、参数模板、看板定义等功能。高校师生可基于系统和数据仓库的数据进行可视化图表配置，满足数据分析需要，实现灵活的大屏看板，自助分析等功能。可支持高校师生灵活开展BI数据分析的教学、实践。提供基础版，限院校本课题研究使用。</w:t>
            </w:r>
          </w:p>
        </w:tc>
      </w:tr>
      <w:tr w:rsidR="006D0E89" w14:paraId="72F12A20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F0847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B11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2CA2A0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物联网采集报警监测工具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6C5A4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联网采集报警监测工具，为高校师生提供全面的工业设备接入能力，支持多种工业协议深度解析，实现实时设备状态监测与分析，高效事件上报机制，以及精准的时序数据采集和异常告警系统，确保设备运行的稳定性和安全性。可支持高校师生灵活开展工业设备、物联网相关的教学、研究与实践。提供基础版，限院校本课题研究使用。</w:t>
            </w:r>
          </w:p>
        </w:tc>
      </w:tr>
      <w:tr w:rsidR="006D0E89" w14:paraId="77D9AF83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CB381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B12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D6CFD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制造运营管理系统（</w:t>
            </w:r>
            <w:r>
              <w:rPr>
                <w:rFonts w:ascii="宋体" w:eastAsia="宋体" w:hAnsi="宋体"/>
                <w:sz w:val="20"/>
                <w:szCs w:val="20"/>
              </w:rPr>
              <w:t>MOM）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F6F9D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/>
                <w:sz w:val="20"/>
                <w:szCs w:val="20"/>
              </w:rPr>
              <w:t>基于自主</w:t>
            </w:r>
            <w:r>
              <w:rPr>
                <w:rFonts w:ascii="宋体" w:eastAsia="宋体" w:hAnsi="宋体" w:hint="eastAsia"/>
                <w:sz w:val="20"/>
                <w:szCs w:val="20"/>
              </w:rPr>
              <w:t>产权</w:t>
            </w:r>
            <w:r>
              <w:rPr>
                <w:rFonts w:ascii="宋体" w:eastAsia="宋体" w:hAnsi="宋体"/>
                <w:sz w:val="20"/>
                <w:szCs w:val="20"/>
              </w:rPr>
              <w:t>的浪潮海岳低代码平台开发的制造运营管理系统（MOM）,支撑制造企业智能工厂数字化、网络化、智能化、绿色化建设目标，实现精益管控产品生产过程，协调管理企业的人员、设备、物料、能源等资源，高效率、低成本、高质量地把原材料零件转化为工业产品。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提供基础版，限院校本课题研究使用。</w:t>
            </w:r>
          </w:p>
        </w:tc>
      </w:tr>
      <w:tr w:rsidR="006D0E89" w14:paraId="64407D7B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EE202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B13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200D0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制造执行系统（</w:t>
            </w:r>
            <w:r>
              <w:rPr>
                <w:rFonts w:ascii="宋体" w:eastAsia="宋体" w:hAnsi="宋体"/>
                <w:sz w:val="20"/>
                <w:szCs w:val="20"/>
              </w:rPr>
              <w:t>MES）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EA133D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/>
                <w:sz w:val="20"/>
                <w:szCs w:val="20"/>
              </w:rPr>
              <w:t>基于自主</w:t>
            </w:r>
            <w:r>
              <w:rPr>
                <w:rFonts w:ascii="宋体" w:eastAsia="宋体" w:hAnsi="宋体" w:hint="eastAsia"/>
                <w:sz w:val="20"/>
                <w:szCs w:val="20"/>
              </w:rPr>
              <w:t>产权</w:t>
            </w:r>
            <w:r>
              <w:rPr>
                <w:rFonts w:ascii="宋体" w:eastAsia="宋体" w:hAnsi="宋体"/>
                <w:sz w:val="20"/>
                <w:szCs w:val="20"/>
              </w:rPr>
              <w:t>的浪潮海岳低代码平台开发的制造执行系统（MES）,可实现制造数据管理、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>
              <w:rPr>
                <w:rFonts w:ascii="宋体" w:eastAsia="宋体" w:hAnsi="宋体"/>
                <w:sz w:val="20"/>
                <w:szCs w:val="20"/>
              </w:rPr>
              <w:t>计划排程管理、生产调度管理、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>
              <w:rPr>
                <w:rFonts w:ascii="宋体" w:eastAsia="宋体" w:hAnsi="宋体"/>
                <w:sz w:val="20"/>
                <w:szCs w:val="20"/>
              </w:rPr>
              <w:t>库存管理、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>
              <w:rPr>
                <w:rFonts w:ascii="宋体" w:eastAsia="宋体" w:hAnsi="宋体"/>
                <w:sz w:val="20"/>
                <w:szCs w:val="20"/>
              </w:rPr>
              <w:t>质量管理、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>
              <w:rPr>
                <w:rFonts w:ascii="宋体" w:eastAsia="宋体" w:hAnsi="宋体"/>
                <w:sz w:val="20"/>
                <w:szCs w:val="20"/>
              </w:rPr>
              <w:t>人力资源管理、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>
              <w:rPr>
                <w:rFonts w:ascii="宋体" w:eastAsia="宋体" w:hAnsi="宋体"/>
                <w:sz w:val="20"/>
                <w:szCs w:val="20"/>
              </w:rPr>
              <w:t>工作中心/设备管理、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>
              <w:rPr>
                <w:rFonts w:ascii="宋体" w:eastAsia="宋体" w:hAnsi="宋体"/>
                <w:sz w:val="20"/>
                <w:szCs w:val="20"/>
              </w:rPr>
              <w:t>工具工装管理、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>
              <w:rPr>
                <w:rFonts w:ascii="宋体" w:eastAsia="宋体" w:hAnsi="宋体"/>
                <w:sz w:val="20"/>
                <w:szCs w:val="20"/>
              </w:rPr>
              <w:t>采购管理、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>
              <w:rPr>
                <w:rFonts w:ascii="宋体" w:eastAsia="宋体" w:hAnsi="宋体"/>
                <w:sz w:val="20"/>
                <w:szCs w:val="20"/>
              </w:rPr>
              <w:t>成本管理、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‌</w:t>
            </w:r>
            <w:r>
              <w:rPr>
                <w:rFonts w:ascii="宋体" w:eastAsia="宋体" w:hAnsi="宋体"/>
                <w:sz w:val="20"/>
                <w:szCs w:val="20"/>
              </w:rPr>
              <w:t>项目看板管理、生产过程控制以及数据集成分析等功能，从而提高生产效率、降低库存成本、优化资源配置、提升产品质量、增强决策支持能力。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提供基础版，限院校本课题研究使用。</w:t>
            </w:r>
          </w:p>
        </w:tc>
      </w:tr>
      <w:tr w:rsidR="006D0E89" w14:paraId="12974183" w14:textId="77777777">
        <w:trPr>
          <w:trHeight w:val="547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9CF4D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B14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C6B13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企业资产管理系统（EAM）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23CA4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/>
                <w:sz w:val="20"/>
                <w:szCs w:val="20"/>
              </w:rPr>
              <w:t>基于自主</w:t>
            </w:r>
            <w:r>
              <w:rPr>
                <w:rFonts w:ascii="宋体" w:eastAsia="宋体" w:hAnsi="宋体" w:hint="eastAsia"/>
                <w:sz w:val="20"/>
                <w:szCs w:val="20"/>
              </w:rPr>
              <w:t>产权</w:t>
            </w:r>
            <w:r>
              <w:rPr>
                <w:rFonts w:ascii="宋体" w:eastAsia="宋体" w:hAnsi="宋体"/>
                <w:sz w:val="20"/>
                <w:szCs w:val="20"/>
              </w:rPr>
              <w:t>的浪潮海岳低代码平台开发的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企业资产管理系统（EAM），可</w:t>
            </w:r>
            <w:r>
              <w:rPr>
                <w:rFonts w:ascii="宋体" w:eastAsia="宋体" w:hAnsi="宋体" w:hint="eastAsia"/>
                <w:sz w:val="20"/>
                <w:szCs w:val="20"/>
              </w:rPr>
              <w:t>实现企业资产的采购、到货验收、建档立卡、经营使用、保养检修、报废处置的全生命周期管理。对于资产的维护，系统结合浪潮多年在资产及设备管理领域的业务沉淀，以资产台账为基础，提供设备从缺陷的预防、发</w:t>
            </w:r>
            <w:r>
              <w:rPr>
                <w:rFonts w:ascii="宋体" w:eastAsia="宋体" w:hAnsi="宋体" w:hint="eastAsia"/>
                <w:sz w:val="20"/>
                <w:szCs w:val="20"/>
              </w:rPr>
              <w:lastRenderedPageBreak/>
              <w:t>现、计划、派工、维修、完工等全过程管理。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提供基础版，限院校本课题研究使用。</w:t>
            </w:r>
          </w:p>
        </w:tc>
      </w:tr>
      <w:tr w:rsidR="006D0E89" w14:paraId="5007C184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92EBF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B1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B59F4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设备健康管理系统（PHM）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E1F14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/>
                <w:sz w:val="20"/>
                <w:szCs w:val="20"/>
              </w:rPr>
              <w:t>基于自主</w:t>
            </w:r>
            <w:r>
              <w:rPr>
                <w:rFonts w:ascii="宋体" w:eastAsia="宋体" w:hAnsi="宋体" w:hint="eastAsia"/>
                <w:sz w:val="20"/>
                <w:szCs w:val="20"/>
              </w:rPr>
              <w:t>产权</w:t>
            </w:r>
            <w:r>
              <w:rPr>
                <w:rFonts w:ascii="宋体" w:eastAsia="宋体" w:hAnsi="宋体"/>
                <w:sz w:val="20"/>
                <w:szCs w:val="20"/>
              </w:rPr>
              <w:t>的浪潮海岳低代码平台开发的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备健康管理系统（PHM）是一款基于生产设备层级的管理软件，是浪潮智能制造产品体系组件之一，是集工业数据采集、时序数据存储分析、制造资源动态监控与设备故障预测与运维于一体的工业智能平台，对接工业现场的逻辑设备，为生产监控的可视化提供配置及管理服务，优化生产设备资源透明化管理与调控能力，实现车间设备层与制造执行层的纵向集成。提供基础版，限院校本课题研究使用。</w:t>
            </w:r>
          </w:p>
        </w:tc>
      </w:tr>
      <w:tr w:rsidR="006D0E89" w14:paraId="72D57A21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CBE0C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60A06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智能仓储管理系统（W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MS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C3E2C" w14:textId="77777777" w:rsidR="006D0E89" w:rsidRDefault="009C394B">
            <w:pPr>
              <w:widowControl/>
              <w:spacing w:beforeLines="10" w:before="31" w:line="300" w:lineRule="exact"/>
              <w:ind w:firstLineChars="200" w:firstLine="4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/>
                <w:sz w:val="20"/>
                <w:szCs w:val="20"/>
              </w:rPr>
              <w:t>基于自主</w:t>
            </w:r>
            <w:r>
              <w:rPr>
                <w:rFonts w:ascii="宋体" w:eastAsia="宋体" w:hAnsi="宋体" w:hint="eastAsia"/>
                <w:sz w:val="20"/>
                <w:szCs w:val="20"/>
              </w:rPr>
              <w:t>产权</w:t>
            </w:r>
            <w:r>
              <w:rPr>
                <w:rFonts w:ascii="宋体" w:eastAsia="宋体" w:hAnsi="宋体"/>
                <w:sz w:val="20"/>
                <w:szCs w:val="20"/>
              </w:rPr>
              <w:t>的浪潮海岳低代码平台开发的</w:t>
            </w:r>
            <w:r>
              <w:rPr>
                <w:rFonts w:ascii="宋体" w:eastAsia="宋体" w:hAnsi="宋体" w:hint="eastAsia"/>
                <w:sz w:val="20"/>
                <w:szCs w:val="20"/>
              </w:rPr>
              <w:t>智能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仓储管理系统（W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MS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），能够提供物资库存全流程管理。系统全面应用移动仓储作业、物联网集成解决方案，实现物资全流程追溯管理，打通采购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-仓储-生产-全供应链仓储管理体系，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助力企业实现仓储管理的数字化转型。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提供基础版，限院校本课题研究使用。</w:t>
            </w:r>
          </w:p>
        </w:tc>
      </w:tr>
      <w:tr w:rsidR="006D0E89" w14:paraId="2D1CAED8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68AEE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B1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AC9BA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大模型一体机平台工具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E4896" w14:textId="77777777" w:rsidR="006D0E89" w:rsidRDefault="009C394B">
            <w:pPr>
              <w:widowControl/>
              <w:spacing w:beforeLines="10" w:before="31"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智算平台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的部署实施工具。提供基础版，限院校本课题研究使用。</w:t>
            </w:r>
          </w:p>
        </w:tc>
      </w:tr>
      <w:tr w:rsidR="006D0E89" w14:paraId="35488A8A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8684F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48DE4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工业数据和接口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C9946" w14:textId="77777777" w:rsidR="006D0E89" w:rsidRDefault="009C394B">
            <w:pPr>
              <w:widowControl/>
              <w:spacing w:beforeLines="10" w:before="31"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企业提供的脱敏业务数据集，与工业互联网平台接口等。提供基础版，限院校本课题研究使用。</w:t>
            </w:r>
          </w:p>
        </w:tc>
      </w:tr>
      <w:tr w:rsidR="006D0E89" w14:paraId="3A891E09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D32713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19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62BD2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人力资源AI应用组件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2ABDA" w14:textId="77777777" w:rsidR="006D0E89" w:rsidRDefault="009C394B">
            <w:pPr>
              <w:widowControl/>
              <w:spacing w:beforeLines="10" w:before="31"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支持高校灵活开展应用开发、教学、实践。提供基础版，限院校本课题研究使用。</w:t>
            </w:r>
          </w:p>
        </w:tc>
      </w:tr>
      <w:tr w:rsidR="006D0E89" w14:paraId="218D8137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5AFC6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B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92DDA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工业CAE超算仿真平台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B2B6A" w14:textId="77777777" w:rsidR="006D0E89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工业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CAE超算仿真平台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是用于教学与科研的通用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CAE平台，包括快捷几何建模，高效网格划分的前处理，美观的可视化后处理和支持各种硬件环境的高性能求解器。</w:t>
            </w:r>
          </w:p>
          <w:p w14:paraId="2A2D318A" w14:textId="77777777" w:rsidR="006D0E89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支持高校师生开展仿真分析、教学、设计、验证、评估。</w:t>
            </w:r>
          </w:p>
          <w:p w14:paraId="05D56D1C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包括静力学和模态分析模块，提供基础版，限院校本课题研究使用。</w:t>
            </w:r>
          </w:p>
        </w:tc>
      </w:tr>
      <w:tr w:rsidR="006D0E89" w14:paraId="63F42D31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B5F47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B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21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D8D36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联合共建服务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959A9" w14:textId="77777777" w:rsidR="006D0E89" w:rsidRDefault="009C394B">
            <w:pPr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配套A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09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，可选择以下的1个或几个方向</w:t>
            </w:r>
          </w:p>
          <w:p w14:paraId="6DA15799" w14:textId="77777777" w:rsidR="006D0E89" w:rsidRDefault="009C394B">
            <w:pPr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1.共建联合课程</w:t>
            </w:r>
          </w:p>
          <w:p w14:paraId="61AA730E" w14:textId="77777777" w:rsidR="006D0E89" w:rsidRDefault="009C394B">
            <w:pPr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2.共建实践实训基地</w:t>
            </w:r>
          </w:p>
          <w:p w14:paraId="630CBE45" w14:textId="77777777" w:rsidR="006D0E89" w:rsidRDefault="009C394B">
            <w:pPr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创新校企双向奔赴</w:t>
            </w:r>
          </w:p>
          <w:p w14:paraId="7AEC4344" w14:textId="77777777" w:rsidR="006D0E89" w:rsidRDefault="009C394B">
            <w:pPr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共建实验室</w:t>
            </w:r>
          </w:p>
          <w:p w14:paraId="54DD7E9D" w14:textId="77777777" w:rsidR="006D0E89" w:rsidRDefault="009C394B">
            <w:pPr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共建产教共同体</w:t>
            </w:r>
          </w:p>
          <w:p w14:paraId="3C3E17B0" w14:textId="77777777" w:rsidR="006D0E89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共建可信档案体系。</w:t>
            </w:r>
          </w:p>
        </w:tc>
      </w:tr>
      <w:tr w:rsidR="006D0E89" w14:paraId="146C4605" w14:textId="77777777">
        <w:trPr>
          <w:trHeight w:val="564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2197D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B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22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F4302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高校科技服务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BD374" w14:textId="77777777" w:rsidR="006D0E89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配套A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，提供免费版，限院校本课题研究使用。</w:t>
            </w:r>
          </w:p>
        </w:tc>
      </w:tr>
      <w:tr w:rsidR="006D0E89" w14:paraId="07DBB2E2" w14:textId="77777777">
        <w:trPr>
          <w:trHeight w:val="780"/>
          <w:jc w:val="center"/>
        </w:trPr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E1763" w14:textId="77777777" w:rsidR="006D0E89" w:rsidRDefault="009C394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0"/>
                <w:szCs w:val="20"/>
              </w:rPr>
              <w:t>B2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7B4D7" w14:textId="77777777" w:rsidR="006D0E89" w:rsidRDefault="009C394B">
            <w:pPr>
              <w:widowControl/>
              <w:spacing w:line="300" w:lineRule="exact"/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教育档案溯源服务</w:t>
            </w:r>
          </w:p>
        </w:tc>
        <w:tc>
          <w:tcPr>
            <w:tcW w:w="36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5D67A" w14:textId="77777777" w:rsidR="006D0E89" w:rsidRDefault="009C394B">
            <w:pPr>
              <w:rPr>
                <w:rFonts w:ascii="宋体" w:eastAsia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配套A</w:t>
            </w: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11,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采集院校的学术数据、学习成果、学习记录等，统一至“教育综合学习档案”存档；提供免费版，限院校本课题研究使用。</w:t>
            </w:r>
          </w:p>
        </w:tc>
      </w:tr>
    </w:tbl>
    <w:p w14:paraId="60A39CC5" w14:textId="77777777" w:rsidR="006D0E89" w:rsidRDefault="006D0E89">
      <w:pPr>
        <w:widowControl/>
        <w:spacing w:beforeLines="50" w:before="156" w:line="460" w:lineRule="exact"/>
        <w:rPr>
          <w:rFonts w:ascii="宋体" w:eastAsia="宋体" w:hAnsi="宋体" w:cs="宋体"/>
          <w:b/>
          <w:kern w:val="0"/>
          <w:sz w:val="24"/>
          <w:szCs w:val="24"/>
        </w:rPr>
      </w:pPr>
      <w:bookmarkStart w:id="6" w:name="_Hlk177724103"/>
    </w:p>
    <w:bookmarkEnd w:id="6"/>
    <w:p w14:paraId="733C76CC" w14:textId="77777777" w:rsidR="006D0E89" w:rsidRDefault="009C394B">
      <w:pPr>
        <w:widowControl/>
        <w:spacing w:line="480" w:lineRule="exact"/>
        <w:ind w:firstLineChars="200" w:firstLine="560"/>
        <w:contextualSpacing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Times New Roman" w:eastAsia="微软雅黑" w:hAnsi="Times New Roman" w:cs="Times New Roman" w:hint="eastAsia"/>
          <w:b/>
          <w:bCs/>
          <w:iCs/>
          <w:kern w:val="0"/>
          <w:sz w:val="28"/>
        </w:rPr>
        <w:t>四、课题申报说明</w:t>
      </w:r>
    </w:p>
    <w:p w14:paraId="2F015837" w14:textId="77777777" w:rsidR="006D0E89" w:rsidRDefault="009C394B">
      <w:pPr>
        <w:widowControl/>
        <w:snapToGrid w:val="0"/>
        <w:spacing w:line="480" w:lineRule="exact"/>
        <w:ind w:firstLineChars="200" w:firstLine="480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1.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申请人须仔细阅读申请指南，按照指南详细填写申请书，填写不合要求的课题会按照格式不符合要求处理。</w:t>
      </w:r>
    </w:p>
    <w:p w14:paraId="5284C2D0" w14:textId="77777777" w:rsidR="006D0E89" w:rsidRDefault="009C394B">
      <w:pPr>
        <w:widowControl/>
        <w:snapToGrid w:val="0"/>
        <w:spacing w:line="480" w:lineRule="exact"/>
        <w:ind w:firstLineChars="200" w:firstLine="480"/>
        <w:contextualSpacing/>
        <w:outlineLvl w:val="1"/>
        <w:rPr>
          <w:rFonts w:ascii="宋体" w:eastAsia="宋体" w:hAnsi="宋体" w:cs="Times New Roman"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lastRenderedPageBreak/>
        <w:t>2.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请各课题申请人按要求填写申请书（申请书中手机和邮箱必须填写），加盖公章及签字后扫描上传至：</w:t>
      </w:r>
      <w:r>
        <w:rPr>
          <w:rFonts w:ascii="Times New Roman" w:eastAsia="宋体" w:hAnsi="Times New Roman" w:cs="Times New Roman"/>
          <w:b/>
          <w:iCs/>
          <w:kern w:val="0"/>
          <w:sz w:val="24"/>
          <w:szCs w:val="24"/>
        </w:rPr>
        <w:t>http</w:t>
      </w:r>
      <w:r>
        <w:rPr>
          <w:rFonts w:ascii="Times New Roman" w:eastAsia="宋体" w:hAnsi="Times New Roman" w:cs="Times New Roman" w:hint="eastAsia"/>
          <w:b/>
          <w:iCs/>
          <w:kern w:val="0"/>
          <w:sz w:val="24"/>
          <w:szCs w:val="24"/>
        </w:rPr>
        <w:t>s</w:t>
      </w:r>
      <w:r>
        <w:rPr>
          <w:rFonts w:ascii="Times New Roman" w:eastAsia="宋体" w:hAnsi="Times New Roman" w:cs="Times New Roman"/>
          <w:b/>
          <w:iCs/>
          <w:kern w:val="0"/>
          <w:sz w:val="24"/>
          <w:szCs w:val="24"/>
        </w:rPr>
        <w:t>://cxjj.cutech.edu.cn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；为方便评审，申请书扫描件请按以下命名规则命名：学校名称+申请人姓名。</w:t>
      </w:r>
    </w:p>
    <w:p w14:paraId="12D14C57" w14:textId="77777777" w:rsidR="006D0E89" w:rsidRDefault="009C394B">
      <w:pPr>
        <w:widowControl/>
        <w:snapToGrid w:val="0"/>
        <w:spacing w:line="480" w:lineRule="exact"/>
        <w:ind w:firstLineChars="200" w:firstLine="480"/>
        <w:contextualSpacing/>
        <w:outlineLvl w:val="1"/>
        <w:rPr>
          <w:rFonts w:ascii="宋体" w:eastAsia="宋体" w:hAnsi="宋体" w:cs="Times New Roman"/>
          <w:iCs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3.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iCs/>
          <w:color w:val="000000" w:themeColor="text1"/>
          <w:kern w:val="0"/>
          <w:sz w:val="24"/>
          <w:szCs w:val="24"/>
        </w:rPr>
        <w:t>申请截止时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间为202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31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日。</w:t>
      </w:r>
    </w:p>
    <w:p w14:paraId="50CD5BEC" w14:textId="77777777" w:rsidR="006D0E89" w:rsidRDefault="009C394B">
      <w:pPr>
        <w:widowControl/>
        <w:snapToGrid w:val="0"/>
        <w:spacing w:line="480" w:lineRule="exact"/>
        <w:ind w:firstLineChars="200" w:firstLine="480"/>
        <w:contextualSpacing/>
        <w:outlineLvl w:val="1"/>
        <w:rPr>
          <w:rFonts w:ascii="宋体" w:eastAsia="宋体" w:hAnsi="宋体" w:cs="Times New Roman"/>
          <w:iCs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color w:val="000000" w:themeColor="text1"/>
          <w:kern w:val="0"/>
          <w:sz w:val="24"/>
          <w:szCs w:val="24"/>
        </w:rPr>
        <w:t>4.</w:t>
      </w:r>
      <w:r>
        <w:rPr>
          <w:rFonts w:ascii="宋体" w:eastAsia="宋体" w:hAnsi="宋体" w:cs="Times New Roman"/>
          <w:iCs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iCs/>
          <w:color w:val="000000" w:themeColor="text1"/>
          <w:kern w:val="0"/>
          <w:sz w:val="24"/>
          <w:szCs w:val="24"/>
        </w:rPr>
        <w:t>课题的执行时间为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202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日～202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30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</w:t>
      </w:r>
      <w:r>
        <w:rPr>
          <w:rFonts w:ascii="宋体" w:eastAsia="宋体" w:hAnsi="宋体" w:cs="Times New Roman" w:hint="eastAsia"/>
          <w:iCs/>
          <w:color w:val="000000" w:themeColor="text1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可根据课题复杂程度适度延长执行周期，最长不超过两年。</w:t>
      </w:r>
    </w:p>
    <w:p w14:paraId="40468056" w14:textId="77777777" w:rsidR="006D0E89" w:rsidRDefault="009C394B">
      <w:pPr>
        <w:widowControl/>
        <w:snapToGrid w:val="0"/>
        <w:spacing w:line="480" w:lineRule="exact"/>
        <w:ind w:firstLineChars="200" w:firstLine="480"/>
        <w:contextualSpacing/>
        <w:outlineLvl w:val="1"/>
        <w:rPr>
          <w:rFonts w:ascii="宋体" w:eastAsia="宋体" w:hAnsi="宋体" w:cs="Times New Roman"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5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.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每位申报人限报一项课题。</w:t>
      </w:r>
    </w:p>
    <w:p w14:paraId="6266CE21" w14:textId="77777777" w:rsidR="006D0E89" w:rsidRDefault="009C394B">
      <w:pPr>
        <w:widowControl/>
        <w:snapToGrid w:val="0"/>
        <w:spacing w:line="480" w:lineRule="exact"/>
        <w:ind w:firstLineChars="200" w:firstLine="480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6. </w:t>
      </w:r>
      <w:r>
        <w:rPr>
          <w:rFonts w:ascii="宋体" w:eastAsia="宋体" w:hAnsi="宋体" w:cs="宋体" w:hint="eastAsia"/>
          <w:kern w:val="0"/>
          <w:sz w:val="24"/>
          <w:szCs w:val="24"/>
        </w:rPr>
        <w:t>课题选题列表上的选题方向都不限定课题数量，但是如果存在内容重复的相似课题，专家组将根据课题组技术积累、课题方案、课题支撑条件等要素择优选择资助课题。</w:t>
      </w:r>
    </w:p>
    <w:p w14:paraId="06E40E72" w14:textId="77777777" w:rsidR="006D0E89" w:rsidRDefault="009C394B">
      <w:pPr>
        <w:widowControl/>
        <w:adjustRightInd w:val="0"/>
        <w:snapToGrid w:val="0"/>
        <w:spacing w:line="480" w:lineRule="exact"/>
        <w:ind w:firstLineChars="200" w:firstLine="480"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宋体" w:eastAsia="宋体" w:hAnsi="宋体" w:cs="Times New Roman"/>
          <w:iCs/>
          <w:kern w:val="0"/>
          <w:sz w:val="24"/>
          <w:szCs w:val="24"/>
        </w:rPr>
        <w:t>7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.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如果以联合课题组的形式申请课题，需要列明不同学校单位的课题任务。</w:t>
      </w:r>
    </w:p>
    <w:p w14:paraId="718D6ABD" w14:textId="77777777" w:rsidR="006D0E89" w:rsidRDefault="009C394B">
      <w:pPr>
        <w:widowControl/>
        <w:snapToGrid w:val="0"/>
        <w:spacing w:line="480" w:lineRule="exact"/>
        <w:ind w:firstLineChars="200" w:firstLine="480"/>
        <w:contextualSpacing/>
        <w:outlineLvl w:val="1"/>
        <w:rPr>
          <w:rFonts w:ascii="Times New Roman" w:eastAsia="微软雅黑" w:hAnsi="Times New Roman" w:cs="Times New Roman"/>
          <w:bCs/>
          <w:iCs/>
          <w:kern w:val="0"/>
          <w:sz w:val="28"/>
        </w:rPr>
      </w:pPr>
      <w:r>
        <w:rPr>
          <w:rFonts w:ascii="宋体" w:eastAsia="宋体" w:hAnsi="宋体" w:cs="Times New Roman"/>
          <w:bCs/>
          <w:iCs/>
          <w:kern w:val="0"/>
          <w:sz w:val="24"/>
          <w:szCs w:val="24"/>
        </w:rPr>
        <w:t>8</w:t>
      </w:r>
      <w:r>
        <w:rPr>
          <w:rFonts w:ascii="宋体" w:eastAsia="宋体" w:hAnsi="宋体" w:cs="Times New Roman" w:hint="eastAsia"/>
          <w:bCs/>
          <w:iCs/>
          <w:kern w:val="0"/>
          <w:sz w:val="24"/>
          <w:szCs w:val="24"/>
        </w:rPr>
        <w:t>.</w:t>
      </w:r>
      <w:r>
        <w:rPr>
          <w:rFonts w:ascii="宋体" w:eastAsia="宋体" w:hAnsi="宋体" w:cs="Times New Roman"/>
          <w:bCs/>
          <w:iCs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bCs/>
          <w:iCs/>
          <w:kern w:val="0"/>
          <w:sz w:val="24"/>
          <w:szCs w:val="24"/>
        </w:rPr>
        <w:t>课题申请人无需向资助企业额外购买配套设备或软件。</w:t>
      </w:r>
    </w:p>
    <w:p w14:paraId="679BFC44" w14:textId="77777777" w:rsidR="006D0E89" w:rsidRDefault="009C394B">
      <w:pPr>
        <w:widowControl/>
        <w:snapToGrid w:val="0"/>
        <w:spacing w:line="480" w:lineRule="exact"/>
        <w:ind w:firstLineChars="200" w:firstLine="560"/>
        <w:outlineLvl w:val="1"/>
        <w:rPr>
          <w:rFonts w:ascii="Times New Roman" w:eastAsia="微软雅黑" w:hAnsi="Times New Roman" w:cs="Times New Roman"/>
          <w:b/>
          <w:bCs/>
          <w:iCs/>
          <w:kern w:val="0"/>
          <w:sz w:val="28"/>
        </w:rPr>
      </w:pPr>
      <w:r>
        <w:rPr>
          <w:rFonts w:ascii="Times New Roman" w:eastAsia="微软雅黑" w:hAnsi="Times New Roman" w:cs="Times New Roman" w:hint="eastAsia"/>
          <w:b/>
          <w:bCs/>
          <w:iCs/>
          <w:kern w:val="0"/>
          <w:sz w:val="28"/>
        </w:rPr>
        <w:t>五、联系人及联系方式</w:t>
      </w:r>
    </w:p>
    <w:p w14:paraId="4FC97571" w14:textId="77777777" w:rsidR="006D0E89" w:rsidRDefault="009C394B">
      <w:pPr>
        <w:widowControl/>
        <w:snapToGrid w:val="0"/>
        <w:spacing w:line="480" w:lineRule="exact"/>
        <w:ind w:firstLineChars="200" w:firstLine="480"/>
        <w:rPr>
          <w:rFonts w:ascii="宋体" w:eastAsia="宋体" w:hAnsi="宋体" w:cs="Times New Roman"/>
          <w:iCs/>
          <w:kern w:val="0"/>
          <w:sz w:val="24"/>
          <w:szCs w:val="24"/>
        </w:rPr>
      </w:pP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1.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教育部高等学校科学研究发展中心联系人：</w:t>
      </w:r>
    </w:p>
    <w:p w14:paraId="7EAB4E02" w14:textId="77777777" w:rsidR="006D0E89" w:rsidRDefault="009C394B">
      <w:pPr>
        <w:widowControl/>
        <w:snapToGrid w:val="0"/>
        <w:spacing w:line="480" w:lineRule="exact"/>
        <w:ind w:firstLineChars="200" w:firstLine="480"/>
        <w:rPr>
          <w:rFonts w:ascii="宋体" w:eastAsia="宋体" w:hAnsi="宋体" w:cs="Times New Roman"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 xml:space="preserve">张 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 xml:space="preserve">杰 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   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电话：010-62514689</w:t>
      </w:r>
    </w:p>
    <w:p w14:paraId="0CDCB165" w14:textId="77777777" w:rsidR="006D0E89" w:rsidRDefault="009C394B">
      <w:pPr>
        <w:widowControl/>
        <w:snapToGrid w:val="0"/>
        <w:spacing w:line="480" w:lineRule="exact"/>
        <w:ind w:firstLineChars="200" w:firstLine="480"/>
        <w:rPr>
          <w:rFonts w:ascii="宋体" w:eastAsia="宋体" w:hAnsi="宋体" w:cs="Times New Roman"/>
          <w:iCs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2</w:t>
      </w:r>
      <w:r>
        <w:rPr>
          <w:rFonts w:ascii="宋体" w:eastAsia="宋体" w:hAnsi="宋体" w:cs="Times New Roman"/>
          <w:iCs/>
          <w:kern w:val="0"/>
          <w:sz w:val="24"/>
          <w:szCs w:val="24"/>
        </w:rPr>
        <w:t xml:space="preserve">. </w:t>
      </w:r>
      <w:r>
        <w:rPr>
          <w:rFonts w:ascii="宋体" w:eastAsia="宋体" w:hAnsi="宋体" w:cs="Times New Roman" w:hint="eastAsia"/>
          <w:iCs/>
          <w:kern w:val="0"/>
          <w:sz w:val="24"/>
          <w:szCs w:val="24"/>
        </w:rPr>
        <w:t>企业联系人：</w:t>
      </w:r>
    </w:p>
    <w:tbl>
      <w:tblPr>
        <w:tblStyle w:val="ae"/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993"/>
        <w:gridCol w:w="1843"/>
        <w:gridCol w:w="1701"/>
        <w:gridCol w:w="3119"/>
      </w:tblGrid>
      <w:tr w:rsidR="006D0E89" w14:paraId="4A0B2F4C" w14:textId="77777777">
        <w:trPr>
          <w:trHeight w:val="567"/>
          <w:jc w:val="center"/>
        </w:trPr>
        <w:tc>
          <w:tcPr>
            <w:tcW w:w="703" w:type="dxa"/>
            <w:vMerge w:val="restart"/>
            <w:vAlign w:val="center"/>
          </w:tcPr>
          <w:p w14:paraId="098E1D2D" w14:textId="77777777" w:rsidR="006D0E89" w:rsidRDefault="009C394B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bookmarkStart w:id="7" w:name="_Hlk212556343"/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A</w:t>
            </w:r>
            <w:r>
              <w:rPr>
                <w:rFonts w:ascii="宋体" w:eastAsia="宋体" w:hAnsi="宋体" w:cs="Times New Roman"/>
                <w:iCs/>
                <w:kern w:val="0"/>
                <w:szCs w:val="21"/>
              </w:rPr>
              <w:t>01-A06</w:t>
            </w:r>
          </w:p>
        </w:tc>
        <w:tc>
          <w:tcPr>
            <w:tcW w:w="993" w:type="dxa"/>
            <w:vAlign w:val="center"/>
          </w:tcPr>
          <w:p w14:paraId="2C0204A4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姓名</w:t>
            </w:r>
          </w:p>
        </w:tc>
        <w:tc>
          <w:tcPr>
            <w:tcW w:w="1843" w:type="dxa"/>
            <w:vAlign w:val="center"/>
          </w:tcPr>
          <w:p w14:paraId="6478D161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负责区域</w:t>
            </w:r>
          </w:p>
        </w:tc>
        <w:tc>
          <w:tcPr>
            <w:tcW w:w="1701" w:type="dxa"/>
            <w:vAlign w:val="center"/>
          </w:tcPr>
          <w:p w14:paraId="0A057339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电话</w:t>
            </w:r>
          </w:p>
        </w:tc>
        <w:tc>
          <w:tcPr>
            <w:tcW w:w="3119" w:type="dxa"/>
            <w:vAlign w:val="center"/>
          </w:tcPr>
          <w:p w14:paraId="0E220449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邮箱</w:t>
            </w:r>
          </w:p>
        </w:tc>
      </w:tr>
      <w:tr w:rsidR="006D0E89" w14:paraId="1F8A787C" w14:textId="77777777">
        <w:trPr>
          <w:trHeight w:val="567"/>
          <w:jc w:val="center"/>
        </w:trPr>
        <w:tc>
          <w:tcPr>
            <w:tcW w:w="703" w:type="dxa"/>
            <w:vMerge/>
            <w:vAlign w:val="center"/>
          </w:tcPr>
          <w:p w14:paraId="2A225B17" w14:textId="77777777" w:rsidR="006D0E89" w:rsidRDefault="006D0E89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030D4B17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 xml:space="preserve">卢 </w:t>
            </w:r>
            <w:r>
              <w:rPr>
                <w:rFonts w:ascii="宋体" w:eastAsia="宋体" w:hAnsi="宋体" w:cs="Times New Roman"/>
                <w:i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倩</w:t>
            </w:r>
          </w:p>
        </w:tc>
        <w:tc>
          <w:tcPr>
            <w:tcW w:w="1843" w:type="dxa"/>
            <w:vAlign w:val="center"/>
          </w:tcPr>
          <w:p w14:paraId="30065AA4" w14:textId="77777777" w:rsidR="006D0E89" w:rsidRDefault="009C394B">
            <w:pPr>
              <w:ind w:firstLineChars="100" w:firstLine="210"/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全国</w:t>
            </w:r>
          </w:p>
        </w:tc>
        <w:tc>
          <w:tcPr>
            <w:tcW w:w="1701" w:type="dxa"/>
            <w:vAlign w:val="center"/>
          </w:tcPr>
          <w:p w14:paraId="7ED022A3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15098928121</w:t>
            </w:r>
          </w:p>
        </w:tc>
        <w:tc>
          <w:tcPr>
            <w:tcW w:w="3119" w:type="dxa"/>
            <w:vAlign w:val="center"/>
          </w:tcPr>
          <w:p w14:paraId="11CDCEFD" w14:textId="77777777" w:rsidR="006D0E89" w:rsidRDefault="009C394B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luqian@inspur.com</w:t>
            </w:r>
          </w:p>
        </w:tc>
      </w:tr>
      <w:tr w:rsidR="006D0E89" w14:paraId="5788263E" w14:textId="77777777">
        <w:trPr>
          <w:trHeight w:val="567"/>
          <w:jc w:val="center"/>
        </w:trPr>
        <w:tc>
          <w:tcPr>
            <w:tcW w:w="703" w:type="dxa"/>
            <w:vMerge/>
            <w:vAlign w:val="center"/>
          </w:tcPr>
          <w:p w14:paraId="2691204D" w14:textId="77777777" w:rsidR="006D0E89" w:rsidRDefault="006D0E89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2890E7F1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蔡令达</w:t>
            </w:r>
          </w:p>
        </w:tc>
        <w:tc>
          <w:tcPr>
            <w:tcW w:w="1843" w:type="dxa"/>
            <w:vAlign w:val="center"/>
          </w:tcPr>
          <w:p w14:paraId="5A1EC458" w14:textId="77777777" w:rsidR="006D0E89" w:rsidRDefault="009C394B">
            <w:pPr>
              <w:ind w:firstLineChars="100" w:firstLine="210"/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京津冀</w:t>
            </w:r>
          </w:p>
        </w:tc>
        <w:tc>
          <w:tcPr>
            <w:tcW w:w="1701" w:type="dxa"/>
            <w:noWrap/>
            <w:vAlign w:val="center"/>
          </w:tcPr>
          <w:p w14:paraId="695F3BDC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13905386729</w:t>
            </w:r>
          </w:p>
        </w:tc>
        <w:tc>
          <w:tcPr>
            <w:tcW w:w="3119" w:type="dxa"/>
            <w:vAlign w:val="center"/>
          </w:tcPr>
          <w:p w14:paraId="0588433D" w14:textId="77777777" w:rsidR="006D0E89" w:rsidRDefault="009C394B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cailingda@inspur.com</w:t>
            </w:r>
          </w:p>
        </w:tc>
      </w:tr>
      <w:tr w:rsidR="006D0E89" w14:paraId="239EF4DE" w14:textId="77777777">
        <w:trPr>
          <w:trHeight w:val="567"/>
          <w:jc w:val="center"/>
        </w:trPr>
        <w:tc>
          <w:tcPr>
            <w:tcW w:w="703" w:type="dxa"/>
            <w:vMerge/>
            <w:vAlign w:val="center"/>
          </w:tcPr>
          <w:p w14:paraId="1D300360" w14:textId="77777777" w:rsidR="006D0E89" w:rsidRDefault="006D0E89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5FE2E19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 xml:space="preserve">李 </w:t>
            </w:r>
            <w:r>
              <w:rPr>
                <w:rFonts w:ascii="宋体" w:eastAsia="宋体" w:hAnsi="宋体" w:cs="Times New Roman"/>
                <w:i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坤</w:t>
            </w:r>
          </w:p>
        </w:tc>
        <w:tc>
          <w:tcPr>
            <w:tcW w:w="1843" w:type="dxa"/>
            <w:vAlign w:val="center"/>
          </w:tcPr>
          <w:p w14:paraId="133B6614" w14:textId="77777777" w:rsidR="006D0E89" w:rsidRDefault="009C394B">
            <w:pPr>
              <w:ind w:firstLineChars="100" w:firstLine="210"/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华东</w:t>
            </w:r>
          </w:p>
        </w:tc>
        <w:tc>
          <w:tcPr>
            <w:tcW w:w="1701" w:type="dxa"/>
            <w:noWrap/>
            <w:vAlign w:val="center"/>
          </w:tcPr>
          <w:p w14:paraId="68C7BD71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18363087878</w:t>
            </w:r>
          </w:p>
        </w:tc>
        <w:tc>
          <w:tcPr>
            <w:tcW w:w="3119" w:type="dxa"/>
            <w:vAlign w:val="center"/>
          </w:tcPr>
          <w:p w14:paraId="51BB9063" w14:textId="77777777" w:rsidR="006D0E89" w:rsidRDefault="009C394B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likun02@inspur.com</w:t>
            </w:r>
          </w:p>
        </w:tc>
      </w:tr>
      <w:tr w:rsidR="006D0E89" w14:paraId="7492E946" w14:textId="77777777">
        <w:trPr>
          <w:trHeight w:val="567"/>
          <w:jc w:val="center"/>
        </w:trPr>
        <w:tc>
          <w:tcPr>
            <w:tcW w:w="703" w:type="dxa"/>
            <w:vMerge/>
            <w:vAlign w:val="center"/>
          </w:tcPr>
          <w:p w14:paraId="06C8F45E" w14:textId="77777777" w:rsidR="006D0E89" w:rsidRDefault="006D0E89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6536E39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樊艳雪</w:t>
            </w:r>
          </w:p>
        </w:tc>
        <w:tc>
          <w:tcPr>
            <w:tcW w:w="1843" w:type="dxa"/>
            <w:vAlign w:val="center"/>
          </w:tcPr>
          <w:p w14:paraId="29B863C4" w14:textId="77777777" w:rsidR="006D0E89" w:rsidRDefault="009C394B">
            <w:pPr>
              <w:ind w:firstLineChars="100" w:firstLine="210"/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华南、华中</w:t>
            </w:r>
          </w:p>
        </w:tc>
        <w:tc>
          <w:tcPr>
            <w:tcW w:w="1701" w:type="dxa"/>
            <w:noWrap/>
            <w:vAlign w:val="center"/>
          </w:tcPr>
          <w:p w14:paraId="21D80EA0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15833619851</w:t>
            </w:r>
          </w:p>
        </w:tc>
        <w:tc>
          <w:tcPr>
            <w:tcW w:w="3119" w:type="dxa"/>
            <w:vAlign w:val="center"/>
          </w:tcPr>
          <w:p w14:paraId="78B5E158" w14:textId="77777777" w:rsidR="006D0E89" w:rsidRDefault="009C394B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fanyanxue@inspur.com</w:t>
            </w:r>
          </w:p>
        </w:tc>
      </w:tr>
      <w:tr w:rsidR="006D0E89" w14:paraId="058C03CA" w14:textId="77777777">
        <w:trPr>
          <w:trHeight w:val="567"/>
          <w:jc w:val="center"/>
        </w:trPr>
        <w:tc>
          <w:tcPr>
            <w:tcW w:w="703" w:type="dxa"/>
            <w:vAlign w:val="center"/>
          </w:tcPr>
          <w:p w14:paraId="430C0975" w14:textId="77777777" w:rsidR="006D0E89" w:rsidRDefault="009C394B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A</w:t>
            </w:r>
            <w:r>
              <w:rPr>
                <w:rFonts w:ascii="宋体" w:eastAsia="宋体" w:hAnsi="宋体" w:cs="Times New Roman"/>
                <w:iCs/>
                <w:kern w:val="0"/>
                <w:szCs w:val="21"/>
              </w:rPr>
              <w:t>07</w:t>
            </w:r>
          </w:p>
        </w:tc>
        <w:tc>
          <w:tcPr>
            <w:tcW w:w="993" w:type="dxa"/>
            <w:vAlign w:val="center"/>
          </w:tcPr>
          <w:p w14:paraId="3FD39E0D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iCs/>
                <w:kern w:val="0"/>
                <w:szCs w:val="21"/>
              </w:rPr>
              <w:t>贾兴旺</w:t>
            </w:r>
          </w:p>
        </w:tc>
        <w:tc>
          <w:tcPr>
            <w:tcW w:w="1843" w:type="dxa"/>
            <w:vAlign w:val="center"/>
          </w:tcPr>
          <w:p w14:paraId="34633CAE" w14:textId="77777777" w:rsidR="006D0E89" w:rsidRDefault="009C394B">
            <w:pPr>
              <w:ind w:firstLineChars="100" w:firstLine="210"/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全国</w:t>
            </w:r>
          </w:p>
        </w:tc>
        <w:tc>
          <w:tcPr>
            <w:tcW w:w="1701" w:type="dxa"/>
            <w:noWrap/>
            <w:vAlign w:val="center"/>
          </w:tcPr>
          <w:p w14:paraId="5E1B9E86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15624087228</w:t>
            </w:r>
          </w:p>
        </w:tc>
        <w:tc>
          <w:tcPr>
            <w:tcW w:w="3119" w:type="dxa"/>
            <w:vAlign w:val="center"/>
          </w:tcPr>
          <w:p w14:paraId="649D672D" w14:textId="77777777" w:rsidR="006D0E89" w:rsidRDefault="00475237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hyperlink r:id="rId7" w:history="1">
              <w:r w:rsidR="009C394B">
                <w:rPr>
                  <w:rFonts w:ascii="宋体" w:eastAsia="宋体" w:hAnsi="宋体" w:cs="Times New Roman" w:hint="eastAsia"/>
                  <w:iCs/>
                  <w:kern w:val="0"/>
                  <w:szCs w:val="21"/>
                </w:rPr>
                <w:t>jiaxingwang@inspur.com</w:t>
              </w:r>
            </w:hyperlink>
          </w:p>
        </w:tc>
      </w:tr>
      <w:tr w:rsidR="006D0E89" w14:paraId="288844DB" w14:textId="77777777">
        <w:trPr>
          <w:trHeight w:val="567"/>
          <w:jc w:val="center"/>
        </w:trPr>
        <w:tc>
          <w:tcPr>
            <w:tcW w:w="703" w:type="dxa"/>
            <w:vAlign w:val="center"/>
          </w:tcPr>
          <w:p w14:paraId="1CE21B6C" w14:textId="77777777" w:rsidR="006D0E89" w:rsidRDefault="009C394B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A</w:t>
            </w:r>
            <w:r>
              <w:rPr>
                <w:rFonts w:ascii="宋体" w:eastAsia="宋体" w:hAnsi="宋体" w:cs="Times New Roman"/>
                <w:iCs/>
                <w:kern w:val="0"/>
                <w:szCs w:val="21"/>
              </w:rPr>
              <w:t>08</w:t>
            </w:r>
          </w:p>
        </w:tc>
        <w:tc>
          <w:tcPr>
            <w:tcW w:w="993" w:type="dxa"/>
            <w:noWrap/>
            <w:vAlign w:val="center"/>
          </w:tcPr>
          <w:p w14:paraId="2942CB6A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麦伟权</w:t>
            </w:r>
          </w:p>
        </w:tc>
        <w:tc>
          <w:tcPr>
            <w:tcW w:w="1843" w:type="dxa"/>
            <w:noWrap/>
            <w:vAlign w:val="center"/>
          </w:tcPr>
          <w:p w14:paraId="0282586F" w14:textId="77777777" w:rsidR="006D0E89" w:rsidRDefault="009C394B">
            <w:pPr>
              <w:ind w:firstLineChars="100" w:firstLine="210"/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全国</w:t>
            </w:r>
          </w:p>
        </w:tc>
        <w:tc>
          <w:tcPr>
            <w:tcW w:w="1701" w:type="dxa"/>
            <w:noWrap/>
            <w:vAlign w:val="center"/>
          </w:tcPr>
          <w:p w14:paraId="5D875345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18688418001</w:t>
            </w:r>
          </w:p>
        </w:tc>
        <w:tc>
          <w:tcPr>
            <w:tcW w:w="3119" w:type="dxa"/>
            <w:vAlign w:val="center"/>
          </w:tcPr>
          <w:p w14:paraId="2B9259B5" w14:textId="77777777" w:rsidR="006D0E89" w:rsidRDefault="009C394B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maiweiquan@inspur.com</w:t>
            </w:r>
          </w:p>
        </w:tc>
      </w:tr>
      <w:tr w:rsidR="006D0E89" w14:paraId="3261CCD0" w14:textId="77777777">
        <w:trPr>
          <w:trHeight w:val="567"/>
          <w:jc w:val="center"/>
        </w:trPr>
        <w:tc>
          <w:tcPr>
            <w:tcW w:w="703" w:type="dxa"/>
            <w:vAlign w:val="center"/>
          </w:tcPr>
          <w:p w14:paraId="2424A664" w14:textId="77777777" w:rsidR="006D0E89" w:rsidRDefault="009C394B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A</w:t>
            </w:r>
            <w:r>
              <w:rPr>
                <w:rFonts w:ascii="宋体" w:eastAsia="宋体" w:hAnsi="宋体" w:cs="Times New Roman"/>
                <w:iCs/>
                <w:kern w:val="0"/>
                <w:szCs w:val="21"/>
              </w:rPr>
              <w:t>09-A</w:t>
            </w: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/>
                <w:iCs/>
                <w:kern w:val="0"/>
                <w:szCs w:val="21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D101795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 xml:space="preserve">张 </w:t>
            </w:r>
            <w:r>
              <w:rPr>
                <w:rFonts w:ascii="宋体" w:eastAsia="宋体" w:hAnsi="宋体" w:cs="Times New Roman"/>
                <w:i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鹏</w:t>
            </w:r>
          </w:p>
        </w:tc>
        <w:tc>
          <w:tcPr>
            <w:tcW w:w="1843" w:type="dxa"/>
            <w:noWrap/>
            <w:vAlign w:val="center"/>
          </w:tcPr>
          <w:p w14:paraId="5D656D05" w14:textId="77777777" w:rsidR="006D0E89" w:rsidRDefault="009C394B">
            <w:pPr>
              <w:ind w:firstLineChars="100" w:firstLine="210"/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全国</w:t>
            </w:r>
          </w:p>
        </w:tc>
        <w:tc>
          <w:tcPr>
            <w:tcW w:w="1701" w:type="dxa"/>
            <w:noWrap/>
            <w:vAlign w:val="center"/>
          </w:tcPr>
          <w:p w14:paraId="17143402" w14:textId="77777777" w:rsidR="006D0E89" w:rsidRDefault="009C394B">
            <w:pPr>
              <w:jc w:val="center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iCs/>
                <w:kern w:val="0"/>
                <w:szCs w:val="21"/>
              </w:rPr>
              <w:t>13521477734</w:t>
            </w:r>
          </w:p>
        </w:tc>
        <w:tc>
          <w:tcPr>
            <w:tcW w:w="3119" w:type="dxa"/>
            <w:vAlign w:val="center"/>
          </w:tcPr>
          <w:p w14:paraId="7D1BE65F" w14:textId="77777777" w:rsidR="006D0E89" w:rsidRDefault="00475237">
            <w:pPr>
              <w:jc w:val="left"/>
              <w:rPr>
                <w:rFonts w:ascii="宋体" w:eastAsia="宋体" w:hAnsi="宋体" w:cs="Times New Roman"/>
                <w:iCs/>
                <w:kern w:val="0"/>
                <w:szCs w:val="21"/>
              </w:rPr>
            </w:pPr>
            <w:hyperlink r:id="rId8" w:history="1">
              <w:r w:rsidR="009C394B">
                <w:rPr>
                  <w:rFonts w:ascii="宋体" w:eastAsia="宋体" w:hAnsi="宋体" w:cs="Times New Roman" w:hint="eastAsia"/>
                  <w:iCs/>
                  <w:kern w:val="0"/>
                  <w:szCs w:val="21"/>
                </w:rPr>
                <w:t>zhishizp@163.com</w:t>
              </w:r>
            </w:hyperlink>
          </w:p>
        </w:tc>
      </w:tr>
      <w:bookmarkEnd w:id="7"/>
    </w:tbl>
    <w:p w14:paraId="58E1446B" w14:textId="77777777" w:rsidR="006D0E89" w:rsidRDefault="006D0E89">
      <w:pPr>
        <w:widowControl/>
        <w:snapToGrid w:val="0"/>
        <w:spacing w:line="480" w:lineRule="exact"/>
        <w:rPr>
          <w:rFonts w:ascii="宋体" w:eastAsia="宋体" w:hAnsi="宋体" w:cs="Times New Roman"/>
          <w:iCs/>
          <w:kern w:val="0"/>
          <w:sz w:val="24"/>
          <w:szCs w:val="24"/>
        </w:rPr>
      </w:pPr>
    </w:p>
    <w:sectPr w:rsidR="006D0E89"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FBE0E" w14:textId="77777777" w:rsidR="00475237" w:rsidRDefault="00475237" w:rsidP="00152620">
      <w:r>
        <w:separator/>
      </w:r>
    </w:p>
  </w:endnote>
  <w:endnote w:type="continuationSeparator" w:id="0">
    <w:p w14:paraId="4ABFCE6C" w14:textId="77777777" w:rsidR="00475237" w:rsidRDefault="00475237" w:rsidP="00152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ingFang SC">
    <w:altName w:val="宋体"/>
    <w:charset w:val="00"/>
    <w:family w:val="roman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37C9E" w14:textId="77777777" w:rsidR="00475237" w:rsidRDefault="00475237" w:rsidP="00152620">
      <w:r>
        <w:separator/>
      </w:r>
    </w:p>
  </w:footnote>
  <w:footnote w:type="continuationSeparator" w:id="0">
    <w:p w14:paraId="16439F1B" w14:textId="77777777" w:rsidR="00475237" w:rsidRDefault="00475237" w:rsidP="00152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xZGU1Y2Q2MjAxNTFhZWViYmJiZWI1NjQ5NGUxNDQifQ=="/>
  </w:docVars>
  <w:rsids>
    <w:rsidRoot w:val="00F0396D"/>
    <w:rsid w:val="FDFDE66C"/>
    <w:rsid w:val="FDFE2B39"/>
    <w:rsid w:val="FDFF8B4B"/>
    <w:rsid w:val="00014794"/>
    <w:rsid w:val="00023CC7"/>
    <w:rsid w:val="00033A10"/>
    <w:rsid w:val="000438EF"/>
    <w:rsid w:val="0006541B"/>
    <w:rsid w:val="0007080C"/>
    <w:rsid w:val="0008495F"/>
    <w:rsid w:val="000B6F9E"/>
    <w:rsid w:val="000D2C57"/>
    <w:rsid w:val="000D455A"/>
    <w:rsid w:val="000F56CD"/>
    <w:rsid w:val="0010037F"/>
    <w:rsid w:val="00104FB0"/>
    <w:rsid w:val="00105780"/>
    <w:rsid w:val="00111BE4"/>
    <w:rsid w:val="00126336"/>
    <w:rsid w:val="00132F7A"/>
    <w:rsid w:val="00135804"/>
    <w:rsid w:val="00140167"/>
    <w:rsid w:val="00146B21"/>
    <w:rsid w:val="00152620"/>
    <w:rsid w:val="00155021"/>
    <w:rsid w:val="00171A36"/>
    <w:rsid w:val="00180B0D"/>
    <w:rsid w:val="0019106D"/>
    <w:rsid w:val="001A7757"/>
    <w:rsid w:val="001B00DA"/>
    <w:rsid w:val="001B6DF4"/>
    <w:rsid w:val="001D0F9D"/>
    <w:rsid w:val="001E3499"/>
    <w:rsid w:val="001F18C2"/>
    <w:rsid w:val="001F2F34"/>
    <w:rsid w:val="001F6938"/>
    <w:rsid w:val="00212123"/>
    <w:rsid w:val="00237CBF"/>
    <w:rsid w:val="002571DA"/>
    <w:rsid w:val="00260180"/>
    <w:rsid w:val="002706E9"/>
    <w:rsid w:val="0028297B"/>
    <w:rsid w:val="00282F6D"/>
    <w:rsid w:val="00283569"/>
    <w:rsid w:val="00285E49"/>
    <w:rsid w:val="002B3531"/>
    <w:rsid w:val="002B396D"/>
    <w:rsid w:val="002E6EE6"/>
    <w:rsid w:val="002F1E22"/>
    <w:rsid w:val="00310743"/>
    <w:rsid w:val="00332181"/>
    <w:rsid w:val="00345D53"/>
    <w:rsid w:val="00346E4F"/>
    <w:rsid w:val="00357700"/>
    <w:rsid w:val="0038290A"/>
    <w:rsid w:val="00392FFF"/>
    <w:rsid w:val="00393FC3"/>
    <w:rsid w:val="003942E3"/>
    <w:rsid w:val="00396292"/>
    <w:rsid w:val="003E2F16"/>
    <w:rsid w:val="003F417C"/>
    <w:rsid w:val="003F64BA"/>
    <w:rsid w:val="003F6E7A"/>
    <w:rsid w:val="00411ED5"/>
    <w:rsid w:val="00426CAC"/>
    <w:rsid w:val="0043237D"/>
    <w:rsid w:val="004377C8"/>
    <w:rsid w:val="00442811"/>
    <w:rsid w:val="004429B4"/>
    <w:rsid w:val="00446E1C"/>
    <w:rsid w:val="00452EAD"/>
    <w:rsid w:val="00455B0A"/>
    <w:rsid w:val="00460D3B"/>
    <w:rsid w:val="00475237"/>
    <w:rsid w:val="0048107D"/>
    <w:rsid w:val="00491B35"/>
    <w:rsid w:val="004A705E"/>
    <w:rsid w:val="004A7BFD"/>
    <w:rsid w:val="004B4150"/>
    <w:rsid w:val="004B6FD5"/>
    <w:rsid w:val="004C311C"/>
    <w:rsid w:val="004C4717"/>
    <w:rsid w:val="004D207F"/>
    <w:rsid w:val="004F0429"/>
    <w:rsid w:val="00505592"/>
    <w:rsid w:val="00513359"/>
    <w:rsid w:val="00537C67"/>
    <w:rsid w:val="0056244F"/>
    <w:rsid w:val="0056455C"/>
    <w:rsid w:val="00570DE8"/>
    <w:rsid w:val="0059669C"/>
    <w:rsid w:val="005C4F23"/>
    <w:rsid w:val="005E053A"/>
    <w:rsid w:val="005F6FBA"/>
    <w:rsid w:val="00606261"/>
    <w:rsid w:val="006255DB"/>
    <w:rsid w:val="00626BD4"/>
    <w:rsid w:val="006538E6"/>
    <w:rsid w:val="006559F7"/>
    <w:rsid w:val="00660386"/>
    <w:rsid w:val="0066252B"/>
    <w:rsid w:val="00665654"/>
    <w:rsid w:val="00687246"/>
    <w:rsid w:val="00690188"/>
    <w:rsid w:val="006A10BB"/>
    <w:rsid w:val="006A78CB"/>
    <w:rsid w:val="006D0E89"/>
    <w:rsid w:val="006E2BB6"/>
    <w:rsid w:val="006F0F5B"/>
    <w:rsid w:val="00706908"/>
    <w:rsid w:val="007337A7"/>
    <w:rsid w:val="00740F5F"/>
    <w:rsid w:val="0075053D"/>
    <w:rsid w:val="00772DFA"/>
    <w:rsid w:val="00780437"/>
    <w:rsid w:val="00783C0C"/>
    <w:rsid w:val="007A192E"/>
    <w:rsid w:val="007B33B0"/>
    <w:rsid w:val="007C4708"/>
    <w:rsid w:val="007D260F"/>
    <w:rsid w:val="007E1B54"/>
    <w:rsid w:val="007E29F7"/>
    <w:rsid w:val="007E6180"/>
    <w:rsid w:val="007E6ECC"/>
    <w:rsid w:val="00804122"/>
    <w:rsid w:val="008241CB"/>
    <w:rsid w:val="00837051"/>
    <w:rsid w:val="00850E95"/>
    <w:rsid w:val="0085351B"/>
    <w:rsid w:val="00853861"/>
    <w:rsid w:val="00854A56"/>
    <w:rsid w:val="00856F2F"/>
    <w:rsid w:val="00863709"/>
    <w:rsid w:val="00874458"/>
    <w:rsid w:val="00890BA8"/>
    <w:rsid w:val="008A1E8E"/>
    <w:rsid w:val="008A44DF"/>
    <w:rsid w:val="008B5612"/>
    <w:rsid w:val="008C4EFD"/>
    <w:rsid w:val="008D6935"/>
    <w:rsid w:val="008E050E"/>
    <w:rsid w:val="008F720E"/>
    <w:rsid w:val="00901CE8"/>
    <w:rsid w:val="00902853"/>
    <w:rsid w:val="00911833"/>
    <w:rsid w:val="0091432A"/>
    <w:rsid w:val="0091627E"/>
    <w:rsid w:val="009645E4"/>
    <w:rsid w:val="00970793"/>
    <w:rsid w:val="0097159F"/>
    <w:rsid w:val="009744B0"/>
    <w:rsid w:val="0099213A"/>
    <w:rsid w:val="009B3154"/>
    <w:rsid w:val="009C394B"/>
    <w:rsid w:val="009D205E"/>
    <w:rsid w:val="009D4299"/>
    <w:rsid w:val="009F4EEB"/>
    <w:rsid w:val="00A11D90"/>
    <w:rsid w:val="00A25637"/>
    <w:rsid w:val="00A27B3A"/>
    <w:rsid w:val="00A427A8"/>
    <w:rsid w:val="00A4287C"/>
    <w:rsid w:val="00A6596B"/>
    <w:rsid w:val="00A841CE"/>
    <w:rsid w:val="00A90059"/>
    <w:rsid w:val="00A92989"/>
    <w:rsid w:val="00AA12EC"/>
    <w:rsid w:val="00AA7FD3"/>
    <w:rsid w:val="00AB5DBA"/>
    <w:rsid w:val="00AB6553"/>
    <w:rsid w:val="00AB7764"/>
    <w:rsid w:val="00AC506C"/>
    <w:rsid w:val="00AD17BD"/>
    <w:rsid w:val="00AD5A33"/>
    <w:rsid w:val="00AE5444"/>
    <w:rsid w:val="00B11D0E"/>
    <w:rsid w:val="00B324DE"/>
    <w:rsid w:val="00B45C51"/>
    <w:rsid w:val="00B854C2"/>
    <w:rsid w:val="00B867DB"/>
    <w:rsid w:val="00BA0D12"/>
    <w:rsid w:val="00BA1518"/>
    <w:rsid w:val="00BA1CD5"/>
    <w:rsid w:val="00BB5921"/>
    <w:rsid w:val="00BD0F70"/>
    <w:rsid w:val="00BD2F74"/>
    <w:rsid w:val="00BE0EBA"/>
    <w:rsid w:val="00BE2F0C"/>
    <w:rsid w:val="00BF0A0B"/>
    <w:rsid w:val="00C018D6"/>
    <w:rsid w:val="00C10E1F"/>
    <w:rsid w:val="00C171F6"/>
    <w:rsid w:val="00C206FC"/>
    <w:rsid w:val="00C52C58"/>
    <w:rsid w:val="00C535CD"/>
    <w:rsid w:val="00C5485E"/>
    <w:rsid w:val="00C73C22"/>
    <w:rsid w:val="00C83CAC"/>
    <w:rsid w:val="00C971B2"/>
    <w:rsid w:val="00CB353C"/>
    <w:rsid w:val="00CC423B"/>
    <w:rsid w:val="00CD5D0D"/>
    <w:rsid w:val="00CE296B"/>
    <w:rsid w:val="00CF2B17"/>
    <w:rsid w:val="00D10631"/>
    <w:rsid w:val="00D25157"/>
    <w:rsid w:val="00D3003D"/>
    <w:rsid w:val="00D33467"/>
    <w:rsid w:val="00D33E06"/>
    <w:rsid w:val="00D5016F"/>
    <w:rsid w:val="00D63577"/>
    <w:rsid w:val="00D66275"/>
    <w:rsid w:val="00D86108"/>
    <w:rsid w:val="00D953EC"/>
    <w:rsid w:val="00DA33D9"/>
    <w:rsid w:val="00DA670D"/>
    <w:rsid w:val="00DC19CB"/>
    <w:rsid w:val="00DD0F35"/>
    <w:rsid w:val="00DF1690"/>
    <w:rsid w:val="00DF3269"/>
    <w:rsid w:val="00E14213"/>
    <w:rsid w:val="00E20483"/>
    <w:rsid w:val="00E25A02"/>
    <w:rsid w:val="00E446B8"/>
    <w:rsid w:val="00E462B0"/>
    <w:rsid w:val="00E4680A"/>
    <w:rsid w:val="00E51E82"/>
    <w:rsid w:val="00E53080"/>
    <w:rsid w:val="00E57255"/>
    <w:rsid w:val="00E76D74"/>
    <w:rsid w:val="00E80FD7"/>
    <w:rsid w:val="00E819F4"/>
    <w:rsid w:val="00EA3744"/>
    <w:rsid w:val="00EB2DD5"/>
    <w:rsid w:val="00EB3BCD"/>
    <w:rsid w:val="00EB447C"/>
    <w:rsid w:val="00EC3AB0"/>
    <w:rsid w:val="00ED07D2"/>
    <w:rsid w:val="00ED7C3B"/>
    <w:rsid w:val="00ED7F40"/>
    <w:rsid w:val="00EE275C"/>
    <w:rsid w:val="00EE4C59"/>
    <w:rsid w:val="00EF0D1B"/>
    <w:rsid w:val="00EF3D2C"/>
    <w:rsid w:val="00F0396D"/>
    <w:rsid w:val="00F355CC"/>
    <w:rsid w:val="00F41198"/>
    <w:rsid w:val="00F41F30"/>
    <w:rsid w:val="00F50ABB"/>
    <w:rsid w:val="00F81D5C"/>
    <w:rsid w:val="00F837E7"/>
    <w:rsid w:val="00F873E4"/>
    <w:rsid w:val="00F920D4"/>
    <w:rsid w:val="00FB5E30"/>
    <w:rsid w:val="00FC13E4"/>
    <w:rsid w:val="00FD3E68"/>
    <w:rsid w:val="00FD5CFB"/>
    <w:rsid w:val="00FE1AFF"/>
    <w:rsid w:val="00FE61E8"/>
    <w:rsid w:val="01D152A8"/>
    <w:rsid w:val="02225B04"/>
    <w:rsid w:val="04F35535"/>
    <w:rsid w:val="059E7159"/>
    <w:rsid w:val="07397B77"/>
    <w:rsid w:val="076B3AA9"/>
    <w:rsid w:val="09145975"/>
    <w:rsid w:val="091A7535"/>
    <w:rsid w:val="09547B93"/>
    <w:rsid w:val="09D41DD9"/>
    <w:rsid w:val="0BCB7594"/>
    <w:rsid w:val="0CFB58CF"/>
    <w:rsid w:val="0D8256A8"/>
    <w:rsid w:val="0E5E6115"/>
    <w:rsid w:val="10653607"/>
    <w:rsid w:val="10A5002C"/>
    <w:rsid w:val="11561DCA"/>
    <w:rsid w:val="11A16A45"/>
    <w:rsid w:val="1582093B"/>
    <w:rsid w:val="16302145"/>
    <w:rsid w:val="170E6162"/>
    <w:rsid w:val="186366A3"/>
    <w:rsid w:val="1A1D0C33"/>
    <w:rsid w:val="1ABC669E"/>
    <w:rsid w:val="1C9D24FF"/>
    <w:rsid w:val="1D954F84"/>
    <w:rsid w:val="1E271B49"/>
    <w:rsid w:val="1E401394"/>
    <w:rsid w:val="1F5A6485"/>
    <w:rsid w:val="215D400B"/>
    <w:rsid w:val="22C72083"/>
    <w:rsid w:val="23BF0FAD"/>
    <w:rsid w:val="24207C9D"/>
    <w:rsid w:val="24C52C5B"/>
    <w:rsid w:val="25F166E0"/>
    <w:rsid w:val="263E08AF"/>
    <w:rsid w:val="27FC632B"/>
    <w:rsid w:val="292336A7"/>
    <w:rsid w:val="2BB92785"/>
    <w:rsid w:val="2BC90C1A"/>
    <w:rsid w:val="2D412A32"/>
    <w:rsid w:val="2E786928"/>
    <w:rsid w:val="2F522CD5"/>
    <w:rsid w:val="2F546A4D"/>
    <w:rsid w:val="2F601896"/>
    <w:rsid w:val="30E958BB"/>
    <w:rsid w:val="32A0644D"/>
    <w:rsid w:val="331F7372"/>
    <w:rsid w:val="33CA3782"/>
    <w:rsid w:val="33E222C5"/>
    <w:rsid w:val="34C401D1"/>
    <w:rsid w:val="34DF500B"/>
    <w:rsid w:val="34E22D4D"/>
    <w:rsid w:val="35696FCA"/>
    <w:rsid w:val="38514471"/>
    <w:rsid w:val="38547C0B"/>
    <w:rsid w:val="387B16EE"/>
    <w:rsid w:val="38D97FC3"/>
    <w:rsid w:val="39477622"/>
    <w:rsid w:val="39CE564E"/>
    <w:rsid w:val="3B2A0FAA"/>
    <w:rsid w:val="3B8C3A12"/>
    <w:rsid w:val="3DC72AE0"/>
    <w:rsid w:val="3E467EA9"/>
    <w:rsid w:val="3EFB46E2"/>
    <w:rsid w:val="3F216DFA"/>
    <w:rsid w:val="3F9966FE"/>
    <w:rsid w:val="413606A8"/>
    <w:rsid w:val="41FD11C6"/>
    <w:rsid w:val="42F73E67"/>
    <w:rsid w:val="432D1637"/>
    <w:rsid w:val="434A043B"/>
    <w:rsid w:val="455410FD"/>
    <w:rsid w:val="464C0026"/>
    <w:rsid w:val="46D87B0C"/>
    <w:rsid w:val="46E464B1"/>
    <w:rsid w:val="47305B9A"/>
    <w:rsid w:val="47332F94"/>
    <w:rsid w:val="47A143A2"/>
    <w:rsid w:val="48256D81"/>
    <w:rsid w:val="49366D6C"/>
    <w:rsid w:val="4970227E"/>
    <w:rsid w:val="4AA5332D"/>
    <w:rsid w:val="4B166E55"/>
    <w:rsid w:val="4B86222C"/>
    <w:rsid w:val="4C2548E4"/>
    <w:rsid w:val="4D765FA3"/>
    <w:rsid w:val="4F0D06D8"/>
    <w:rsid w:val="4F820F5D"/>
    <w:rsid w:val="4FD55530"/>
    <w:rsid w:val="502142D2"/>
    <w:rsid w:val="521D4F6D"/>
    <w:rsid w:val="52D01FDF"/>
    <w:rsid w:val="53746E0E"/>
    <w:rsid w:val="543D36A4"/>
    <w:rsid w:val="550146D2"/>
    <w:rsid w:val="55545149"/>
    <w:rsid w:val="56301712"/>
    <w:rsid w:val="569D042A"/>
    <w:rsid w:val="56A60FEC"/>
    <w:rsid w:val="56CB4F97"/>
    <w:rsid w:val="56DC71A4"/>
    <w:rsid w:val="59D93E6F"/>
    <w:rsid w:val="59E7658C"/>
    <w:rsid w:val="5A1A070F"/>
    <w:rsid w:val="5C7659A5"/>
    <w:rsid w:val="5C9C1C7E"/>
    <w:rsid w:val="5CD56B70"/>
    <w:rsid w:val="5D810AA5"/>
    <w:rsid w:val="5E761C8C"/>
    <w:rsid w:val="5FDB26EF"/>
    <w:rsid w:val="61E138C1"/>
    <w:rsid w:val="62157A0E"/>
    <w:rsid w:val="62DE0B80"/>
    <w:rsid w:val="63247F09"/>
    <w:rsid w:val="6461518D"/>
    <w:rsid w:val="647A1DAB"/>
    <w:rsid w:val="64BD0615"/>
    <w:rsid w:val="65501489"/>
    <w:rsid w:val="657B48C7"/>
    <w:rsid w:val="68294213"/>
    <w:rsid w:val="682B3AE8"/>
    <w:rsid w:val="68A85138"/>
    <w:rsid w:val="6A5135AE"/>
    <w:rsid w:val="6A6B28C1"/>
    <w:rsid w:val="6ABC4ECB"/>
    <w:rsid w:val="6B715CB5"/>
    <w:rsid w:val="6BEA5A68"/>
    <w:rsid w:val="6D146061"/>
    <w:rsid w:val="6D885538"/>
    <w:rsid w:val="6DA02882"/>
    <w:rsid w:val="6DB36A59"/>
    <w:rsid w:val="6DB427D1"/>
    <w:rsid w:val="6E9A19C7"/>
    <w:rsid w:val="6EE60768"/>
    <w:rsid w:val="71105F71"/>
    <w:rsid w:val="71145A61"/>
    <w:rsid w:val="715A71EC"/>
    <w:rsid w:val="720C351F"/>
    <w:rsid w:val="727918F3"/>
    <w:rsid w:val="7328014A"/>
    <w:rsid w:val="73814F04"/>
    <w:rsid w:val="75CE68EA"/>
    <w:rsid w:val="77D93560"/>
    <w:rsid w:val="78591FAB"/>
    <w:rsid w:val="78915BE9"/>
    <w:rsid w:val="793547C6"/>
    <w:rsid w:val="79667075"/>
    <w:rsid w:val="79AC25AE"/>
    <w:rsid w:val="79BA4CCB"/>
    <w:rsid w:val="79DE4E5E"/>
    <w:rsid w:val="7A886B78"/>
    <w:rsid w:val="7AF81F4F"/>
    <w:rsid w:val="7CA81753"/>
    <w:rsid w:val="7E15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985FBD"/>
  <w15:docId w15:val="{85EE50B7-2BD8-426C-A707-B0E339A5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f1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">
    <w:name w:val="修订2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p1">
    <w:name w:val="p1"/>
    <w:basedOn w:val="a"/>
    <w:qFormat/>
    <w:pPr>
      <w:jc w:val="left"/>
    </w:pPr>
    <w:rPr>
      <w:rFonts w:ascii="PingFang SC" w:eastAsia="PingFang SC" w:hAnsi="PingFang SC" w:cs="Times New Roman"/>
      <w:kern w:val="0"/>
      <w:sz w:val="26"/>
      <w:szCs w:val="26"/>
    </w:rPr>
  </w:style>
  <w:style w:type="paragraph" w:customStyle="1" w:styleId="3">
    <w:name w:val="修订3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4">
    <w:name w:val="修订4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ds-markdown-paragraph">
    <w:name w:val="ds-markdown-paragraph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修订5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ishizp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iaxingwang@inspur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6272D8DD-6441-434A-A71A-7C522BE1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1502</Words>
  <Characters>8566</Characters>
  <Application>Microsoft Office Word</Application>
  <DocSecurity>0</DocSecurity>
  <Lines>71</Lines>
  <Paragraphs>20</Paragraphs>
  <ScaleCrop>false</ScaleCrop>
  <Company/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Songlin Liu (刘松林)-浪潮数字企业</dc:creator>
  <cp:lastModifiedBy>zhangjie</cp:lastModifiedBy>
  <cp:revision>3</cp:revision>
  <dcterms:created xsi:type="dcterms:W3CDTF">2025-12-17T01:46:00Z</dcterms:created>
  <dcterms:modified xsi:type="dcterms:W3CDTF">2025-12-17T05:46:00Z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2052-12.1.24031.24031</vt:lpwstr>
  </property>
  <property fmtid="{D5CDD505-2E9C-101B-9397-08002B2CF9AE}" pid="3" name="ICV">
    <vt:lpwstr>AE2CF8A669DB47D5BFEF8F12F456C863_13</vt:lpwstr>
  </property>
  <property fmtid="{D5CDD505-2E9C-101B-9397-08002B2CF9AE}" pid="4" name="KSOTemplateDocerSaveRecord">
    <vt:lpwstr>eyJoZGlkIjoiNTkxZGU1Y2Q2MjAxNTFhZWViYmJiZWI1NjQ5NGUxNDQiLCJ1c2VySWQiOiI0MzQxOTg4NTcifQ==</vt:lpwstr>
  </property>
</Properties>
</file>