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2B8A3">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default" w:ascii="Times New Roman" w:hAnsi="Times New Roman" w:eastAsia="黑体" w:cs="Times New Roman"/>
          <w:caps w:val="0"/>
          <w:color w:val="auto"/>
          <w:sz w:val="32"/>
          <w:szCs w:val="32"/>
          <w:highlight w:val="none"/>
          <w:vertAlign w:val="baseline"/>
        </w:rPr>
      </w:pPr>
      <w:bookmarkStart w:id="0" w:name="_GoBack"/>
      <w:bookmarkEnd w:id="0"/>
      <w:r>
        <w:rPr>
          <w:rFonts w:hint="default" w:ascii="Times New Roman" w:hAnsi="Times New Roman" w:eastAsia="黑体" w:cs="Times New Roman"/>
          <w:caps w:val="0"/>
          <w:color w:val="auto"/>
          <w:sz w:val="32"/>
          <w:szCs w:val="32"/>
          <w:highlight w:val="none"/>
          <w:vertAlign w:val="baseline"/>
        </w:rPr>
        <w:t>附件1</w:t>
      </w:r>
    </w:p>
    <w:p w14:paraId="2EAE0912">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eastAsia" w:ascii="方正小标宋简体" w:hAnsi="方正小标宋简体" w:eastAsia="方正小标宋简体" w:cs="方正小标宋简体"/>
          <w:caps w:val="0"/>
          <w:color w:val="auto"/>
          <w:sz w:val="32"/>
          <w:szCs w:val="32"/>
          <w:highlight w:val="none"/>
          <w:vertAlign w:val="baseline"/>
        </w:rPr>
      </w:pPr>
    </w:p>
    <w:p w14:paraId="6FA789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方正小标宋简体" w:hAnsi="方正小标宋简体" w:eastAsia="方正小标宋简体" w:cs="方正小标宋简体"/>
          <w:bCs/>
          <w:caps w:val="0"/>
          <w:color w:val="auto"/>
          <w:sz w:val="44"/>
          <w:szCs w:val="44"/>
          <w:highlight w:val="none"/>
          <w:vertAlign w:val="baseline"/>
        </w:rPr>
      </w:pPr>
      <w:r>
        <w:rPr>
          <w:rFonts w:hint="eastAsia" w:ascii="方正小标宋简体" w:hAnsi="方正小标宋简体" w:eastAsia="方正小标宋简体" w:cs="方正小标宋简体"/>
          <w:b w:val="0"/>
          <w:bCs/>
          <w:caps w:val="0"/>
          <w:color w:val="auto"/>
          <w:kern w:val="2"/>
          <w:sz w:val="44"/>
          <w:szCs w:val="44"/>
          <w:highlight w:val="none"/>
          <w:vertAlign w:val="baseline"/>
          <w:lang w:val="en-US" w:eastAsia="zh-CN" w:bidi="ar"/>
        </w:rPr>
        <w:t>2025年度广西自然科学基金</w:t>
      </w:r>
    </w:p>
    <w:p w14:paraId="6395A2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方正小标宋简体" w:hAnsi="方正小标宋简体" w:eastAsia="方正小标宋简体" w:cs="方正小标宋简体"/>
          <w:caps w:val="0"/>
          <w:snapToGrid w:val="0"/>
          <w:color w:val="auto"/>
          <w:sz w:val="36"/>
          <w:szCs w:val="36"/>
          <w:highlight w:val="none"/>
          <w:vertAlign w:val="baseline"/>
          <w:lang w:bidi="ar"/>
        </w:rPr>
      </w:pPr>
      <w:r>
        <w:rPr>
          <w:rFonts w:hint="eastAsia" w:ascii="方正小标宋简体" w:hAnsi="方正小标宋简体" w:eastAsia="方正小标宋简体" w:cs="方正小标宋简体"/>
          <w:b w:val="0"/>
          <w:bCs/>
          <w:caps w:val="0"/>
          <w:color w:val="auto"/>
          <w:kern w:val="2"/>
          <w:sz w:val="44"/>
          <w:szCs w:val="44"/>
          <w:highlight w:val="none"/>
          <w:vertAlign w:val="baseline"/>
          <w:lang w:val="en-US" w:eastAsia="zh-CN" w:bidi="ar"/>
        </w:rPr>
        <w:t>“人工智能驱动科研发展”方向项目申报指南</w:t>
      </w:r>
    </w:p>
    <w:p w14:paraId="6158B126">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60" w:lineRule="exact"/>
        <w:ind w:left="0" w:right="0" w:firstLine="602" w:firstLineChars="200"/>
        <w:jc w:val="center"/>
        <w:outlineLvl w:val="9"/>
        <w:rPr>
          <w:rFonts w:hint="default" w:ascii="Times New Roman" w:hAnsi="Times New Roman" w:eastAsia="仿宋" w:cs="Times New Roman"/>
          <w:b/>
          <w:caps w:val="0"/>
          <w:color w:val="auto"/>
          <w:sz w:val="30"/>
          <w:szCs w:val="30"/>
          <w:highlight w:val="none"/>
          <w:vertAlign w:val="baseline"/>
        </w:rPr>
      </w:pPr>
    </w:p>
    <w:p w14:paraId="648B30E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eastAsia" w:ascii="Times New Roman" w:eastAsia="仿宋_GB2312" w:cs="仿宋_GB2312"/>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1</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基于多模态预训练模型的药物分子合成产率智能预测方法研究</w:t>
      </w:r>
    </w:p>
    <w:p w14:paraId="48E9174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Times New Roman" w:hAnsi="Times New Roman" w:eastAsia="仿宋_GB2312" w:cs="仿宋_GB2312"/>
          <w:b w:val="0"/>
          <w:bCs w:val="0"/>
          <w:caps w:val="0"/>
          <w:snapToGrid w:val="0"/>
          <w:color w:val="auto"/>
          <w:kern w:val="2"/>
          <w:sz w:val="32"/>
          <w:szCs w:val="32"/>
          <w:highlight w:val="none"/>
          <w:vertAlign w:val="baseline"/>
          <w:lang w:val="en-US" w:eastAsia="zh-CN" w:bidi="ar"/>
        </w:rPr>
      </w:pPr>
      <w:r>
        <w:rPr>
          <w:rFonts w:hint="eastAsia" w:ascii="Times New Roman" w:hAnsi="Times New Roman" w:eastAsia="仿宋_GB2312" w:cs="仿宋_GB2312"/>
          <w:b w:val="0"/>
          <w:bCs w:val="0"/>
          <w:caps w:val="0"/>
          <w:snapToGrid w:val="0"/>
          <w:color w:val="auto"/>
          <w:kern w:val="2"/>
          <w:sz w:val="32"/>
          <w:szCs w:val="32"/>
          <w:highlight w:val="none"/>
          <w:vertAlign w:val="baseline"/>
          <w:lang w:val="en-US" w:eastAsia="zh-CN" w:bidi="ar"/>
        </w:rPr>
        <w:t>以合成药物中化学反应产率预测为研究对象，针对传统量子化学计算效率低、计算模型泛化性不足等问题，通过融合分子结构、反应条件等多源数据，突破跨反应类型预测瓶颈，构建多模态化学数据的预训练框架，开发面向产率预测的轻量化微调模型，结合实验验证优化算法，为药物合成提供高精度、高效率、低成本的智能预测方法，推动广西医药研发智能化。</w:t>
      </w:r>
    </w:p>
    <w:p w14:paraId="10CC68C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2</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人工智能驱动广西特色作物重大病害致病机制解析</w:t>
      </w:r>
    </w:p>
    <w:p w14:paraId="18E11951">
      <w:pPr>
        <w:pStyle w:val="7"/>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snapToGrid w:val="0"/>
          <w:color w:val="auto"/>
          <w:kern w:val="2"/>
          <w:sz w:val="32"/>
          <w:szCs w:val="32"/>
          <w:highlight w:val="none"/>
          <w:vertAlign w:val="baseline"/>
          <w:lang w:val="en-US" w:eastAsia="zh-CN" w:bidi="ar"/>
        </w:rPr>
      </w:pPr>
      <w:r>
        <w:rPr>
          <w:rFonts w:hint="eastAsia" w:ascii="仿宋_GB2312" w:eastAsia="仿宋_GB2312" w:cs="仿宋_GB2312"/>
          <w:caps w:val="0"/>
          <w:snapToGrid w:val="0"/>
          <w:color w:val="auto"/>
          <w:kern w:val="2"/>
          <w:sz w:val="32"/>
          <w:szCs w:val="32"/>
          <w:highlight w:val="none"/>
          <w:vertAlign w:val="baseline"/>
          <w:lang w:val="en-US" w:eastAsia="zh-CN" w:bidi="ar"/>
        </w:rPr>
        <w:t>聚焦甘蔗、香蕉、柑橘、芒果、林木等广西特色农林作物重大病害致病机制不清的难题，整合人工智能与多组学技术，建立病害致病因子预测大模型，构建致病基因高效挖掘与精准鉴定技术体系，</w:t>
      </w:r>
      <w:r>
        <w:rPr>
          <w:rFonts w:hint="eastAsia" w:ascii="仿宋_GB2312" w:eastAsia="仿宋_GB2312" w:cs="仿宋_GB2312"/>
          <w:caps w:val="0"/>
          <w:snapToGrid w:val="0"/>
          <w:color w:val="auto"/>
          <w:kern w:val="2"/>
          <w:sz w:val="32"/>
          <w:szCs w:val="32"/>
          <w:highlight w:val="none"/>
          <w:vertAlign w:val="baseline"/>
          <w:lang w:bidi="ar"/>
        </w:rPr>
        <w:t>挖掘</w:t>
      </w:r>
      <w:r>
        <w:rPr>
          <w:rFonts w:hint="eastAsia" w:ascii="仿宋_GB2312" w:eastAsia="仿宋_GB2312" w:cs="仿宋_GB2312"/>
          <w:caps w:val="0"/>
          <w:snapToGrid w:val="0"/>
          <w:color w:val="auto"/>
          <w:kern w:val="2"/>
          <w:sz w:val="32"/>
          <w:szCs w:val="32"/>
          <w:highlight w:val="none"/>
          <w:vertAlign w:val="baseline"/>
          <w:lang w:eastAsia="zh-CN" w:bidi="ar"/>
        </w:rPr>
        <w:t>关键</w:t>
      </w:r>
      <w:r>
        <w:rPr>
          <w:rFonts w:hint="eastAsia" w:ascii="仿宋_GB2312" w:eastAsia="仿宋_GB2312" w:cs="仿宋_GB2312"/>
          <w:caps w:val="0"/>
          <w:snapToGrid w:val="0"/>
          <w:color w:val="auto"/>
          <w:kern w:val="2"/>
          <w:sz w:val="32"/>
          <w:szCs w:val="32"/>
          <w:highlight w:val="none"/>
          <w:vertAlign w:val="baseline"/>
          <w:lang w:bidi="ar"/>
        </w:rPr>
        <w:t>致病基因</w:t>
      </w:r>
      <w:r>
        <w:rPr>
          <w:rFonts w:hint="eastAsia" w:ascii="仿宋_GB2312" w:eastAsia="仿宋_GB2312" w:cs="仿宋_GB2312"/>
          <w:caps w:val="0"/>
          <w:snapToGrid w:val="0"/>
          <w:color w:val="auto"/>
          <w:kern w:val="2"/>
          <w:sz w:val="32"/>
          <w:szCs w:val="32"/>
          <w:highlight w:val="none"/>
          <w:vertAlign w:val="baseline"/>
          <w:lang w:val="en-US" w:eastAsia="zh-CN" w:bidi="ar"/>
        </w:rPr>
        <w:t>，解析宿主关键效应因子的分子调控网络，阐明病害致病分子机理，为靶向</w:t>
      </w:r>
      <w:r>
        <w:rPr>
          <w:rFonts w:hint="eastAsia" w:ascii="Times New Roman" w:eastAsia="仿宋_GB2312" w:cs="仿宋_GB2312"/>
          <w:caps w:val="0"/>
          <w:color w:val="auto"/>
          <w:kern w:val="0"/>
          <w:sz w:val="32"/>
          <w:szCs w:val="32"/>
          <w:highlight w:val="none"/>
          <w:vertAlign w:val="baseline"/>
        </w:rPr>
        <w:t>生物制剂</w:t>
      </w:r>
      <w:r>
        <w:rPr>
          <w:rFonts w:hint="eastAsia" w:ascii="仿宋_GB2312" w:eastAsia="仿宋_GB2312" w:cs="仿宋_GB2312"/>
          <w:caps w:val="0"/>
          <w:snapToGrid w:val="0"/>
          <w:color w:val="auto"/>
          <w:kern w:val="2"/>
          <w:sz w:val="32"/>
          <w:szCs w:val="32"/>
          <w:highlight w:val="none"/>
          <w:vertAlign w:val="baseline"/>
          <w:lang w:val="en-US" w:eastAsia="zh-CN" w:bidi="ar"/>
        </w:rPr>
        <w:t>研发和抗病种质创制提供分子靶标与理论依据，助力广西现代农林业绿色高质量发展。</w:t>
      </w:r>
    </w:p>
    <w:p w14:paraId="24C3ED1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3</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人工智能驱动农林作物智能育种方法研究</w:t>
      </w:r>
    </w:p>
    <w:p w14:paraId="387DDC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宋体" w:cs="Times New Roman"/>
          <w:caps w:val="0"/>
          <w:color w:val="auto"/>
          <w:sz w:val="21"/>
          <w:szCs w:val="21"/>
          <w:highlight w:val="none"/>
          <w:vertAlign w:val="baseline"/>
        </w:rPr>
      </w:pPr>
      <w:r>
        <w:rPr>
          <w:rFonts w:hint="eastAsia" w:ascii="仿宋_GB2312" w:hAnsi="Times New Roman" w:eastAsia="仿宋_GB2312" w:cs="仿宋_GB2312"/>
          <w:b w:val="0"/>
          <w:bCs w:val="0"/>
          <w:caps w:val="0"/>
          <w:snapToGrid w:val="0"/>
          <w:color w:val="auto"/>
          <w:kern w:val="0"/>
          <w:sz w:val="32"/>
          <w:szCs w:val="32"/>
          <w:highlight w:val="none"/>
          <w:vertAlign w:val="baseline"/>
          <w:lang w:val="en-US" w:eastAsia="zh-CN" w:bidi="ar"/>
        </w:rPr>
        <w:t>针对农林作物育种存在周期长、效率低、品种预测精度不高等问题，开展人工智能大模型预测农林作物性状关键基因靶点，构建多模态数据融合分析框架，实现育种数据的高效整合与挖掘。开发基于强化学习的育种优化模型，研发边缘计算驱动的轻量级人工智能模型，实现农林作物表型数据的实时、高精度获取和分析，开拓智能育种研究的新范式。</w:t>
      </w:r>
    </w:p>
    <w:p w14:paraId="27118C0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4</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蛋白质人工智能设计与优化</w:t>
      </w:r>
    </w:p>
    <w:p w14:paraId="63C5A7B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pP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针对广西高性能工业酶及其他蛋白质研究需求，聚焦人工智能在蛋白质设计中的创新应用，提升结构预测、功能优化及工程设计效率，开发</w:t>
      </w:r>
      <w:r>
        <w:rPr>
          <w:rFonts w:hint="eastAsia" w:ascii="仿宋_GB2312" w:hAnsi="Times New Roman" w:eastAsia="仿宋_GB2312" w:cs="仿宋_GB2312"/>
          <w:b w:val="0"/>
          <w:bCs w:val="0"/>
          <w:caps w:val="0"/>
          <w:snapToGrid w:val="0"/>
          <w:color w:val="auto"/>
          <w:kern w:val="0"/>
          <w:sz w:val="32"/>
          <w:szCs w:val="32"/>
          <w:highlight w:val="none"/>
          <w:vertAlign w:val="baseline"/>
          <w:lang w:val="en-US" w:eastAsia="zh-CN" w:bidi="ar"/>
        </w:rPr>
        <w:t>人工智能</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驱动的蛋白质理性设计算法，基于深度学习的蛋白质折叠与稳定性预测，构建</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序列</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结构</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功能</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智能预测模型。通过实验与</w:t>
      </w:r>
      <w:r>
        <w:rPr>
          <w:rFonts w:hint="eastAsia" w:ascii="仿宋_GB2312" w:hAnsi="Times New Roman" w:eastAsia="仿宋_GB2312" w:cs="仿宋_GB2312"/>
          <w:b w:val="0"/>
          <w:bCs w:val="0"/>
          <w:caps w:val="0"/>
          <w:snapToGrid w:val="0"/>
          <w:color w:val="auto"/>
          <w:kern w:val="0"/>
          <w:sz w:val="32"/>
          <w:szCs w:val="32"/>
          <w:highlight w:val="none"/>
          <w:vertAlign w:val="baseline"/>
          <w:lang w:val="en-US" w:eastAsia="zh-CN" w:bidi="ar"/>
        </w:rPr>
        <w:t>人工智能</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协同优化，设计高催化效率、高稳定性工业酶及其他蛋白质，构建</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设计</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表达</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验证</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Times New Roman"/>
          <w:b w:val="0"/>
          <w:bCs w:val="0"/>
          <w:caps w:val="0"/>
          <w:snapToGrid w:val="0"/>
          <w:color w:val="auto"/>
          <w:kern w:val="2"/>
          <w:sz w:val="32"/>
          <w:szCs w:val="32"/>
          <w:highlight w:val="none"/>
          <w:vertAlign w:val="baseline"/>
          <w:lang w:val="en-US" w:eastAsia="zh-CN" w:bidi="ar"/>
        </w:rPr>
        <w:t>技术体系，创制高性能工业酶及其他蛋白质，为广西生物智造产业发展提供技术支撑。</w:t>
      </w:r>
    </w:p>
    <w:p w14:paraId="4692D0C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strike w:val="0"/>
          <w:color w:val="auto"/>
          <w:sz w:val="32"/>
          <w:szCs w:val="32"/>
          <w:highlight w:val="none"/>
          <w:vertAlign w:val="baseline"/>
          <w:lang w:val="en-US" w:eastAsia="zh-CN"/>
        </w:rPr>
      </w:pPr>
      <w:r>
        <w:rPr>
          <w:rFonts w:hint="eastAsia" w:ascii="Times New Roman" w:hAnsi="Times New Roman" w:eastAsia="仿宋_GB2312" w:cs="Times New Roman"/>
          <w:b/>
          <w:bCs w:val="0"/>
          <w:caps w:val="0"/>
          <w:strike w:val="0"/>
          <w:color w:val="auto"/>
          <w:kern w:val="2"/>
          <w:sz w:val="32"/>
          <w:szCs w:val="32"/>
          <w:highlight w:val="none"/>
          <w:vertAlign w:val="baseline"/>
          <w:lang w:val="en-US" w:eastAsia="zh-CN" w:bidi="ar"/>
        </w:rPr>
        <w:t>5</w:t>
      </w:r>
      <w:r>
        <w:rPr>
          <w:rFonts w:hint="default" w:ascii="Times New Roman" w:hAnsi="Times New Roman" w:eastAsia="仿宋_GB2312" w:cs="Times New Roman"/>
          <w:b/>
          <w:bCs w:val="0"/>
          <w:caps w:val="0"/>
          <w:strike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strike w:val="0"/>
          <w:color w:val="auto"/>
          <w:kern w:val="2"/>
          <w:sz w:val="32"/>
          <w:szCs w:val="32"/>
          <w:highlight w:val="none"/>
          <w:vertAlign w:val="baseline"/>
          <w:lang w:val="en-US" w:eastAsia="zh-CN" w:bidi="ar"/>
        </w:rPr>
        <w:t>基于人工智能与多组学技术融合的多模态肿瘤</w:t>
      </w:r>
      <w:r>
        <w:rPr>
          <w:rFonts w:hint="default" w:ascii="Times New Roman" w:hAnsi="Times New Roman" w:eastAsia="仿宋_GB2312" w:cs="Times New Roman"/>
          <w:b/>
          <w:bCs w:val="0"/>
          <w:caps w:val="0"/>
          <w:strike w:val="0"/>
          <w:color w:val="auto"/>
          <w:kern w:val="2"/>
          <w:sz w:val="32"/>
          <w:szCs w:val="32"/>
          <w:highlight w:val="none"/>
          <w:vertAlign w:val="baseline"/>
          <w:lang w:val="en-US" w:eastAsia="zh-CN" w:bidi="ar"/>
        </w:rPr>
        <w:t>/</w:t>
      </w:r>
      <w:r>
        <w:rPr>
          <w:rFonts w:hint="eastAsia" w:ascii="Times New Roman" w:hAnsi="Times New Roman" w:eastAsia="仿宋_GB2312" w:cs="仿宋_GB2312"/>
          <w:b/>
          <w:bCs w:val="0"/>
          <w:caps w:val="0"/>
          <w:strike w:val="0"/>
          <w:color w:val="auto"/>
          <w:kern w:val="2"/>
          <w:sz w:val="32"/>
          <w:szCs w:val="32"/>
          <w:highlight w:val="none"/>
          <w:vertAlign w:val="baseline"/>
          <w:lang w:val="en-US" w:eastAsia="zh-CN" w:bidi="ar"/>
        </w:rPr>
        <w:t>慢性病诊疗基因智能体系构建</w:t>
      </w:r>
    </w:p>
    <w:p w14:paraId="54ECE30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_GB2312" w:cs="仿宋"/>
          <w:b/>
          <w:bCs/>
          <w:caps w:val="0"/>
          <w:strike w:val="0"/>
          <w:color w:val="auto"/>
          <w:kern w:val="0"/>
          <w:sz w:val="32"/>
          <w:szCs w:val="32"/>
          <w:highlight w:val="none"/>
          <w:vertAlign w:val="baseline"/>
          <w:lang w:bidi="ar"/>
        </w:rPr>
      </w:pPr>
      <w:r>
        <w:rPr>
          <w:rFonts w:hint="eastAsia" w:ascii="Times New Roman" w:hAnsi="Times New Roman" w:eastAsia="仿宋_GB2312" w:cs="仿宋"/>
          <w:b w:val="0"/>
          <w:bCs w:val="0"/>
          <w:caps w:val="0"/>
          <w:strike w:val="0"/>
          <w:color w:val="auto"/>
          <w:kern w:val="0"/>
          <w:sz w:val="32"/>
          <w:szCs w:val="32"/>
          <w:highlight w:val="none"/>
          <w:vertAlign w:val="baseline"/>
          <w:lang w:val="en-US" w:eastAsia="zh-CN" w:bidi="ar"/>
        </w:rPr>
        <w:t>以广西常见肿瘤</w:t>
      </w:r>
      <w:r>
        <w:rPr>
          <w:rFonts w:hint="default" w:ascii="Times New Roman" w:hAnsi="Times New Roman" w:eastAsia="仿宋_GB2312" w:cs="仿宋"/>
          <w:b w:val="0"/>
          <w:bCs w:val="0"/>
          <w:caps w:val="0"/>
          <w:strike w:val="0"/>
          <w:color w:val="auto"/>
          <w:kern w:val="0"/>
          <w:sz w:val="32"/>
          <w:szCs w:val="32"/>
          <w:highlight w:val="none"/>
          <w:vertAlign w:val="baseline"/>
          <w:lang w:val="en-US" w:eastAsia="zh-CN" w:bidi="ar"/>
        </w:rPr>
        <w:t>/</w:t>
      </w:r>
      <w:r>
        <w:rPr>
          <w:rFonts w:hint="eastAsia" w:ascii="Times New Roman" w:hAnsi="Times New Roman" w:eastAsia="仿宋_GB2312" w:cs="仿宋"/>
          <w:b w:val="0"/>
          <w:bCs w:val="0"/>
          <w:caps w:val="0"/>
          <w:strike w:val="0"/>
          <w:color w:val="auto"/>
          <w:kern w:val="0"/>
          <w:sz w:val="32"/>
          <w:szCs w:val="32"/>
          <w:highlight w:val="none"/>
          <w:vertAlign w:val="baseline"/>
          <w:lang w:val="en-US" w:eastAsia="zh-CN" w:bidi="ar"/>
        </w:rPr>
        <w:t>慢性病为研究对象，开展建立本地人群临床表型</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仿宋"/>
          <w:b w:val="0"/>
          <w:bCs w:val="0"/>
          <w:caps w:val="0"/>
          <w:strike w:val="0"/>
          <w:color w:val="auto"/>
          <w:kern w:val="0"/>
          <w:sz w:val="32"/>
          <w:szCs w:val="32"/>
          <w:highlight w:val="none"/>
          <w:vertAlign w:val="baseline"/>
          <w:lang w:val="en-US" w:eastAsia="zh-CN" w:bidi="ar"/>
        </w:rPr>
        <w:t>基因型多模态数据集、筛选致病基因和干预靶点等方面的基础研究，解决广西缺少肿瘤</w:t>
      </w:r>
      <w:r>
        <w:rPr>
          <w:rFonts w:hint="default" w:ascii="Times New Roman" w:hAnsi="Times New Roman" w:eastAsia="仿宋_GB2312" w:cs="仿宋"/>
          <w:b w:val="0"/>
          <w:bCs w:val="0"/>
          <w:caps w:val="0"/>
          <w:strike w:val="0"/>
          <w:color w:val="auto"/>
          <w:kern w:val="0"/>
          <w:sz w:val="32"/>
          <w:szCs w:val="32"/>
          <w:highlight w:val="none"/>
          <w:vertAlign w:val="baseline"/>
          <w:lang w:val="en-US" w:eastAsia="zh-CN" w:bidi="ar"/>
        </w:rPr>
        <w:t>/</w:t>
      </w:r>
      <w:r>
        <w:rPr>
          <w:rFonts w:hint="eastAsia" w:ascii="Times New Roman" w:hAnsi="Times New Roman" w:eastAsia="仿宋_GB2312" w:cs="仿宋"/>
          <w:b w:val="0"/>
          <w:bCs w:val="0"/>
          <w:caps w:val="0"/>
          <w:strike w:val="0"/>
          <w:color w:val="auto"/>
          <w:kern w:val="0"/>
          <w:sz w:val="32"/>
          <w:szCs w:val="32"/>
          <w:highlight w:val="none"/>
          <w:vertAlign w:val="baseline"/>
          <w:lang w:val="en-US" w:eastAsia="zh-CN" w:bidi="ar"/>
        </w:rPr>
        <w:t>慢性病诊疗本土基因数据库的问题，采用人工智能动态优化诊疗模型，突破传统方法假阳性率高、区域适应性不足的临床瓶颈。</w:t>
      </w:r>
    </w:p>
    <w:p w14:paraId="53F2647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eastAsia" w:ascii="Times New Roman" w:eastAsia="仿宋_GB2312" w:cs="仿宋_GB2312"/>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6</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基于人工智能的广西人群罕见病表型—基因型数据库建设与开发应用</w:t>
      </w:r>
    </w:p>
    <w:p w14:paraId="58F2D5C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Times New Roman" w:eastAsia="仿宋_GB2312" w:cs="仿宋"/>
          <w:caps w:val="0"/>
          <w:snapToGrid w:val="0"/>
          <w:color w:val="auto"/>
          <w:sz w:val="32"/>
          <w:szCs w:val="32"/>
          <w:highlight w:val="none"/>
          <w:vertAlign w:val="baseline"/>
          <w:lang w:bidi="ar"/>
        </w:rPr>
      </w:pPr>
      <w:r>
        <w:rPr>
          <w:rFonts w:hint="eastAsia" w:ascii="Times New Roman" w:hAnsi="Times New Roman" w:eastAsia="仿宋_GB2312" w:cs="仿宋"/>
          <w:b w:val="0"/>
          <w:bCs w:val="0"/>
          <w:caps w:val="0"/>
          <w:snapToGrid w:val="0"/>
          <w:color w:val="auto"/>
          <w:kern w:val="2"/>
          <w:sz w:val="32"/>
          <w:szCs w:val="32"/>
          <w:highlight w:val="none"/>
          <w:vertAlign w:val="baseline"/>
          <w:lang w:val="en-US" w:eastAsia="zh-CN" w:bidi="ar"/>
        </w:rPr>
        <w:t>基于广西多民族优势，建立广西人群罕见病临床表型</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仿宋"/>
          <w:b w:val="0"/>
          <w:bCs w:val="0"/>
          <w:caps w:val="0"/>
          <w:snapToGrid w:val="0"/>
          <w:color w:val="auto"/>
          <w:kern w:val="2"/>
          <w:sz w:val="32"/>
          <w:szCs w:val="32"/>
          <w:highlight w:val="none"/>
          <w:vertAlign w:val="baseline"/>
          <w:lang w:val="en-US" w:eastAsia="zh-CN" w:bidi="ar"/>
        </w:rPr>
        <w:t>基因型多模态数据集，利用人工智能算法对数据进行深度挖掘，高效筛选可能的致病基因及干预靶点，通过多组学方法进行验证，推动罕见病研究，形成数据建模</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仿宋"/>
          <w:b w:val="0"/>
          <w:bCs w:val="0"/>
          <w:caps w:val="0"/>
          <w:snapToGrid w:val="0"/>
          <w:color w:val="auto"/>
          <w:kern w:val="2"/>
          <w:sz w:val="32"/>
          <w:szCs w:val="32"/>
          <w:highlight w:val="none"/>
          <w:vertAlign w:val="baseline"/>
          <w:lang w:val="en-US" w:eastAsia="zh-CN" w:bidi="ar"/>
        </w:rPr>
        <w:t>机制解析</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仿宋"/>
          <w:b w:val="0"/>
          <w:bCs w:val="0"/>
          <w:caps w:val="0"/>
          <w:snapToGrid w:val="0"/>
          <w:color w:val="auto"/>
          <w:kern w:val="2"/>
          <w:sz w:val="32"/>
          <w:szCs w:val="32"/>
          <w:highlight w:val="none"/>
          <w:vertAlign w:val="baseline"/>
          <w:lang w:val="en-US" w:eastAsia="zh-CN" w:bidi="ar"/>
        </w:rPr>
        <w:t>临床转化的全链条科研赋能体系。</w:t>
      </w:r>
    </w:p>
    <w:p w14:paraId="7DA3CEB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7</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基于人工智能的污染物传输预测研究</w:t>
      </w:r>
    </w:p>
    <w:p w14:paraId="4F09960F">
      <w:pPr>
        <w:pStyle w:val="7"/>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仿宋_GB2312"/>
          <w:caps w:val="0"/>
          <w:snapToGrid w:val="0"/>
          <w:color w:val="auto"/>
          <w:kern w:val="2"/>
          <w:sz w:val="32"/>
          <w:szCs w:val="32"/>
          <w:highlight w:val="none"/>
          <w:vertAlign w:val="baseline"/>
          <w:lang w:bidi="ar"/>
        </w:rPr>
      </w:pPr>
      <w:r>
        <w:rPr>
          <w:rFonts w:hint="eastAsia" w:ascii="Times New Roman" w:eastAsia="仿宋_GB2312" w:cs="仿宋_GB2312"/>
          <w:caps w:val="0"/>
          <w:snapToGrid w:val="0"/>
          <w:color w:val="auto"/>
          <w:kern w:val="2"/>
          <w:sz w:val="32"/>
          <w:szCs w:val="32"/>
          <w:highlight w:val="none"/>
          <w:vertAlign w:val="baseline"/>
          <w:lang w:bidi="ar"/>
        </w:rPr>
        <w:t>针对可解释的人工智能方法在大气和水体等重要生态环境领域的落地应用等问题，基于环境、气象监测等实况数据，以污染物传输物理机理与深度学习相融合的人工智能可解释方法为研究对象，开展解析和构建传输过程模拟网络研究，揭示污染物输移复杂系统的物化机理。</w:t>
      </w:r>
    </w:p>
    <w:p w14:paraId="7E96DE8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8</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深度强化学习驱动下多模态地质数据融合的矿产资源预测与评价</w:t>
      </w:r>
    </w:p>
    <w:p w14:paraId="302FFEB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 w:hAnsi="仿宋" w:eastAsia="仿宋" w:cs="Calibri"/>
          <w:caps w:val="0"/>
          <w:snapToGrid w:val="0"/>
          <w:color w:val="auto"/>
          <w:sz w:val="32"/>
          <w:szCs w:val="32"/>
          <w:highlight w:val="none"/>
          <w:vertAlign w:val="baseline"/>
          <w:lang w:bidi="ar"/>
        </w:rPr>
      </w:pPr>
      <w:r>
        <w:rPr>
          <w:rFonts w:hint="eastAsia" w:ascii="仿宋" w:hAnsi="仿宋" w:eastAsia="仿宋" w:cs="仿宋_GB2312"/>
          <w:b w:val="0"/>
          <w:bCs w:val="0"/>
          <w:caps w:val="0"/>
          <w:snapToGrid w:val="0"/>
          <w:color w:val="auto"/>
          <w:kern w:val="2"/>
          <w:sz w:val="32"/>
          <w:szCs w:val="32"/>
          <w:highlight w:val="none"/>
          <w:vertAlign w:val="baseline"/>
          <w:lang w:val="en-US" w:eastAsia="zh-CN" w:bidi="ar"/>
        </w:rPr>
        <w:t>采用深度强化学习和数据挖掘等</w:t>
      </w:r>
      <w:r>
        <w:rPr>
          <w:rFonts w:hint="eastAsia" w:ascii="仿宋_GB2312" w:hAnsi="Times New Roman" w:eastAsia="仿宋_GB2312" w:cs="仿宋_GB2312"/>
          <w:b w:val="0"/>
          <w:bCs w:val="0"/>
          <w:caps w:val="0"/>
          <w:snapToGrid w:val="0"/>
          <w:color w:val="auto"/>
          <w:kern w:val="0"/>
          <w:sz w:val="32"/>
          <w:szCs w:val="32"/>
          <w:highlight w:val="none"/>
          <w:vertAlign w:val="baseline"/>
          <w:lang w:val="en-US" w:eastAsia="zh-CN" w:bidi="ar"/>
        </w:rPr>
        <w:t>人工智能</w:t>
      </w:r>
      <w:r>
        <w:rPr>
          <w:rFonts w:hint="eastAsia" w:ascii="仿宋" w:hAnsi="仿宋" w:eastAsia="仿宋" w:cs="仿宋_GB2312"/>
          <w:b w:val="0"/>
          <w:bCs w:val="0"/>
          <w:caps w:val="0"/>
          <w:snapToGrid w:val="0"/>
          <w:color w:val="auto"/>
          <w:kern w:val="2"/>
          <w:sz w:val="32"/>
          <w:szCs w:val="32"/>
          <w:highlight w:val="none"/>
          <w:vertAlign w:val="baseline"/>
          <w:lang w:val="en-US" w:eastAsia="zh-CN" w:bidi="ar"/>
        </w:rPr>
        <w:t>技术，基于地球化学、地球物理、</w:t>
      </w:r>
      <w:r>
        <w:rPr>
          <w:rFonts w:hint="eastAsia" w:ascii="仿宋" w:hAnsi="仿宋" w:eastAsia="仿宋" w:cs="微软雅黑"/>
          <w:b w:val="0"/>
          <w:bCs w:val="0"/>
          <w:caps w:val="0"/>
          <w:snapToGrid w:val="0"/>
          <w:color w:val="auto"/>
          <w:kern w:val="2"/>
          <w:sz w:val="32"/>
          <w:szCs w:val="32"/>
          <w:highlight w:val="none"/>
          <w:vertAlign w:val="baseline"/>
          <w:lang w:val="en-US" w:eastAsia="zh-CN" w:bidi="ar"/>
        </w:rPr>
        <w:t>地质</w:t>
      </w:r>
      <w:r>
        <w:rPr>
          <w:rFonts w:hint="eastAsia" w:ascii="仿宋" w:hAnsi="仿宋" w:eastAsia="仿宋" w:cs="___WRD_EMBED_SUB_45"/>
          <w:b w:val="0"/>
          <w:bCs w:val="0"/>
          <w:caps w:val="0"/>
          <w:snapToGrid w:val="0"/>
          <w:color w:val="auto"/>
          <w:kern w:val="2"/>
          <w:sz w:val="32"/>
          <w:szCs w:val="32"/>
          <w:highlight w:val="none"/>
          <w:vertAlign w:val="baseline"/>
          <w:lang w:val="en-US" w:eastAsia="zh-CN" w:bidi="ar"/>
        </w:rPr>
        <w:t>矿产</w:t>
      </w:r>
      <w:r>
        <w:rPr>
          <w:rFonts w:hint="eastAsia" w:ascii="仿宋" w:hAnsi="仿宋" w:eastAsia="仿宋" w:cs="仿宋_GB2312"/>
          <w:b w:val="0"/>
          <w:bCs w:val="0"/>
          <w:caps w:val="0"/>
          <w:snapToGrid w:val="0"/>
          <w:color w:val="auto"/>
          <w:kern w:val="2"/>
          <w:sz w:val="32"/>
          <w:szCs w:val="32"/>
          <w:highlight w:val="none"/>
          <w:vertAlign w:val="baseline"/>
          <w:lang w:val="en-US" w:eastAsia="zh-CN" w:bidi="ar"/>
        </w:rPr>
        <w:t>、遥感影像</w:t>
      </w:r>
      <w:r>
        <w:rPr>
          <w:rFonts w:hint="eastAsia" w:ascii="仿宋" w:hAnsi="仿宋" w:eastAsia="仿宋" w:cs="___WRD_EMBED_SUB_45"/>
          <w:b w:val="0"/>
          <w:bCs w:val="0"/>
          <w:caps w:val="0"/>
          <w:snapToGrid w:val="0"/>
          <w:color w:val="auto"/>
          <w:kern w:val="2"/>
          <w:sz w:val="32"/>
          <w:szCs w:val="32"/>
          <w:highlight w:val="none"/>
          <w:vertAlign w:val="baseline"/>
          <w:lang w:val="en-US" w:eastAsia="zh-CN" w:bidi="ar"/>
        </w:rPr>
        <w:t>等</w:t>
      </w:r>
      <w:r>
        <w:rPr>
          <w:rFonts w:hint="eastAsia" w:ascii="仿宋" w:hAnsi="仿宋" w:eastAsia="仿宋" w:cs="仿宋_GB2312"/>
          <w:b w:val="0"/>
          <w:bCs w:val="0"/>
          <w:caps w:val="0"/>
          <w:snapToGrid w:val="0"/>
          <w:color w:val="auto"/>
          <w:kern w:val="2"/>
          <w:sz w:val="32"/>
          <w:szCs w:val="32"/>
          <w:highlight w:val="none"/>
          <w:vertAlign w:val="baseline"/>
          <w:lang w:val="en-US" w:eastAsia="zh-CN" w:bidi="ar"/>
        </w:rPr>
        <w:t>多源</w:t>
      </w:r>
      <w:r>
        <w:rPr>
          <w:rFonts w:hint="eastAsia" w:ascii="仿宋" w:hAnsi="仿宋" w:eastAsia="仿宋" w:cs="Calibri"/>
          <w:b w:val="0"/>
          <w:bCs w:val="0"/>
          <w:caps w:val="0"/>
          <w:snapToGrid w:val="0"/>
          <w:color w:val="auto"/>
          <w:kern w:val="2"/>
          <w:sz w:val="32"/>
          <w:szCs w:val="32"/>
          <w:highlight w:val="none"/>
          <w:vertAlign w:val="baseline"/>
          <w:lang w:val="en-US" w:eastAsia="zh-CN" w:bidi="ar"/>
        </w:rPr>
        <w:t>信息数据</w:t>
      </w:r>
      <w:r>
        <w:rPr>
          <w:rFonts w:hint="eastAsia" w:ascii="仿宋" w:hAnsi="仿宋" w:eastAsia="仿宋" w:cs="仿宋_GB2312"/>
          <w:b w:val="0"/>
          <w:bCs w:val="0"/>
          <w:caps w:val="0"/>
          <w:snapToGrid w:val="0"/>
          <w:color w:val="auto"/>
          <w:kern w:val="2"/>
          <w:sz w:val="32"/>
          <w:szCs w:val="32"/>
          <w:highlight w:val="none"/>
          <w:vertAlign w:val="baseline"/>
          <w:lang w:val="en-US" w:eastAsia="zh-CN" w:bidi="ar"/>
        </w:rPr>
        <w:t>，建立</w:t>
      </w:r>
      <w:r>
        <w:rPr>
          <w:rFonts w:hint="eastAsia" w:ascii="仿宋" w:hAnsi="仿宋" w:eastAsia="仿宋" w:cs="Calibri"/>
          <w:b w:val="0"/>
          <w:bCs w:val="0"/>
          <w:caps w:val="0"/>
          <w:snapToGrid w:val="0"/>
          <w:color w:val="auto"/>
          <w:kern w:val="2"/>
          <w:sz w:val="32"/>
          <w:szCs w:val="32"/>
          <w:highlight w:val="none"/>
          <w:vertAlign w:val="baseline"/>
          <w:lang w:val="en-US" w:eastAsia="zh-CN" w:bidi="ar"/>
        </w:rPr>
        <w:t>矿产资源预测模型，分析矿床成矿机制和规律，对成矿</w:t>
      </w:r>
      <w:r>
        <w:rPr>
          <w:rFonts w:hint="eastAsia" w:ascii="仿宋" w:hAnsi="仿宋" w:eastAsia="仿宋" w:cs="微软雅黑"/>
          <w:b w:val="0"/>
          <w:bCs w:val="0"/>
          <w:caps w:val="0"/>
          <w:snapToGrid w:val="0"/>
          <w:color w:val="auto"/>
          <w:kern w:val="2"/>
          <w:sz w:val="32"/>
          <w:szCs w:val="32"/>
          <w:highlight w:val="none"/>
          <w:vertAlign w:val="baseline"/>
          <w:lang w:val="en-US" w:eastAsia="zh-CN" w:bidi="ar"/>
        </w:rPr>
        <w:t>靶</w:t>
      </w:r>
      <w:r>
        <w:rPr>
          <w:rFonts w:hint="eastAsia" w:ascii="仿宋" w:hAnsi="仿宋" w:eastAsia="仿宋" w:cs="___WRD_EMBED_SUB_45"/>
          <w:b w:val="0"/>
          <w:bCs w:val="0"/>
          <w:caps w:val="0"/>
          <w:snapToGrid w:val="0"/>
          <w:color w:val="auto"/>
          <w:kern w:val="2"/>
          <w:sz w:val="32"/>
          <w:szCs w:val="32"/>
          <w:highlight w:val="none"/>
          <w:vertAlign w:val="baseline"/>
          <w:lang w:val="en-US" w:eastAsia="zh-CN" w:bidi="ar"/>
        </w:rPr>
        <w:t>区进行成矿预测与评价，识别出可能存在矿（化）体的地质区域，提高矿床预测的准确性和可靠性。</w:t>
      </w:r>
    </w:p>
    <w:p w14:paraId="4D3F245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eastAsia" w:ascii="Times New Roman" w:eastAsia="仿宋_GB2312" w:cs="仿宋_GB2312"/>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9</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人工智能驱动海洋工程用钢疲劳寿命评估方法与理论</w:t>
      </w:r>
    </w:p>
    <w:p w14:paraId="407AAFF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highlight w:val="none"/>
          <w:vertAlign w:val="baseline"/>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围绕海洋工程用钢腐蚀疲劳行为，融合机器学习与物理建模方法，开展</w:t>
      </w:r>
      <w:r>
        <w:rPr>
          <w:rFonts w:hint="eastAsia" w:ascii="Times New Roman" w:hAnsi="Times New Roman" w:eastAsia="仿宋_GB2312" w:cs="仿宋_GB2312"/>
          <w:b w:val="0"/>
          <w:bCs w:val="0"/>
          <w:caps w:val="0"/>
          <w:color w:val="auto"/>
          <w:kern w:val="2"/>
          <w:sz w:val="32"/>
          <w:szCs w:val="32"/>
          <w:highlight w:val="none"/>
          <w:vertAlign w:val="baseline"/>
          <w:lang w:val="en-US" w:eastAsia="zh-CN" w:bidi="ar"/>
        </w:rPr>
        <w:t>海水环境下电化学反应产物对海洋工程用钢环境疲劳裂纹萌生</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仿宋_GB2312"/>
          <w:b w:val="0"/>
          <w:bCs w:val="0"/>
          <w:caps w:val="0"/>
          <w:color w:val="auto"/>
          <w:kern w:val="2"/>
          <w:sz w:val="32"/>
          <w:szCs w:val="32"/>
          <w:highlight w:val="none"/>
          <w:vertAlign w:val="baseline"/>
          <w:lang w:val="en-US" w:eastAsia="zh-CN" w:bidi="ar"/>
        </w:rPr>
        <w:t>跨尺度扩展行为的影响规律研究，阐明微尺度材料疲劳损伤特征、位错结构演化与疲劳裂纹萌生扩展间的关联机制，建立物理驱动下的数学描述和损失函数项，提出可靠的寿命预测模型。</w:t>
      </w:r>
    </w:p>
    <w:p w14:paraId="7AE850F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eastAsia" w:ascii="Times New Roman" w:eastAsia="仿宋_GB2312" w:cs="仿宋_GB2312"/>
          <w:b/>
          <w:caps w:val="0"/>
          <w:color w:val="auto"/>
          <w:sz w:val="32"/>
          <w:szCs w:val="32"/>
          <w:highlight w:val="none"/>
          <w:vertAlign w:val="baseline"/>
          <w:lang w:val="en-US" w:eastAsia="zh-CN"/>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10</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color w:val="auto"/>
          <w:kern w:val="2"/>
          <w:sz w:val="32"/>
          <w:szCs w:val="32"/>
          <w:highlight w:val="none"/>
          <w:vertAlign w:val="baseline"/>
          <w:lang w:val="en-US" w:eastAsia="zh-CN" w:bidi="ar"/>
        </w:rPr>
        <w:t>人工智能驱动的大型机械零部件自动堆焊与修复应用基础研究</w:t>
      </w:r>
    </w:p>
    <w:p w14:paraId="7D77439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highlight w:val="none"/>
          <w:vertAlign w:val="baseline"/>
        </w:rPr>
      </w:pPr>
      <w:r>
        <w:rPr>
          <w:rFonts w:hint="eastAsia" w:ascii="Times New Roman" w:hAnsi="Times New Roman" w:eastAsia="仿宋_GB2312" w:cs="仿宋_GB2312"/>
          <w:b w:val="0"/>
          <w:bCs w:val="0"/>
          <w:caps w:val="0"/>
          <w:color w:val="auto"/>
          <w:kern w:val="2"/>
          <w:sz w:val="32"/>
          <w:szCs w:val="32"/>
          <w:highlight w:val="none"/>
          <w:vertAlign w:val="baseline"/>
          <w:lang w:val="en-US" w:eastAsia="zh-CN" w:bidi="ar"/>
        </w:rPr>
        <w:t>针对大型机械零部件服役过程中易磨损、腐蚀等缺陷以及传统修复效率低、精度差等问题，研究高精度轮廓获取与机器人堆焊路径规划算法，自动生成堆焊路径；优化焊接参数算法，开发适用大型零部件的机器人自动堆焊控制管理系统；集成堆焊轮廓获取和机器人路径规划等功能，为推动大型机械零部件制造与修复的智能化升级提供理论支撑。</w:t>
      </w:r>
    </w:p>
    <w:p w14:paraId="05F3263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eastAsia" w:ascii="Times New Roman" w:eastAsia="仿宋_GB2312" w:cs="Times New Roman"/>
          <w:b/>
          <w:caps w:val="0"/>
          <w:color w:val="auto"/>
          <w:sz w:val="32"/>
          <w:szCs w:val="32"/>
          <w:highlight w:val="none"/>
          <w:vertAlign w:val="baseline"/>
          <w:lang w:val="en-US" w:eastAsia="zh-CN" w:bidi="ar"/>
        </w:rPr>
      </w:pP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11</w:t>
      </w:r>
      <w:r>
        <w:rPr>
          <w:rFonts w:hint="default" w:ascii="Times New Roman" w:hAnsi="Times New Roman" w:eastAsia="仿宋_GB2312" w:cs="Times New Roman"/>
          <w:b/>
          <w:bCs w:val="0"/>
          <w:caps w:val="0"/>
          <w:color w:val="auto"/>
          <w:kern w:val="2"/>
          <w:sz w:val="32"/>
          <w:szCs w:val="32"/>
          <w:highlight w:val="none"/>
          <w:vertAlign w:val="baseline"/>
          <w:lang w:val="en-US" w:eastAsia="zh-CN" w:bidi="ar"/>
        </w:rPr>
        <w:t xml:space="preserve">. </w:t>
      </w:r>
      <w:r>
        <w:rPr>
          <w:rFonts w:hint="eastAsia" w:ascii="Times New Roman" w:hAnsi="Times New Roman" w:eastAsia="仿宋_GB2312" w:cs="Times New Roman"/>
          <w:b/>
          <w:bCs w:val="0"/>
          <w:caps w:val="0"/>
          <w:color w:val="auto"/>
          <w:kern w:val="2"/>
          <w:sz w:val="32"/>
          <w:szCs w:val="32"/>
          <w:highlight w:val="none"/>
          <w:vertAlign w:val="baseline"/>
          <w:lang w:val="en-US" w:eastAsia="zh-CN" w:bidi="ar"/>
        </w:rPr>
        <w:t>北部湾海域基于视听具身的“生物友好”认知频谱网络研究</w:t>
      </w:r>
    </w:p>
    <w:p w14:paraId="3E3AC4C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Times New Roman" w:eastAsia="仿宋_GB2312" w:cs="仿宋_GB2312"/>
          <w:caps w:val="0"/>
          <w:snapToGrid w:val="0"/>
          <w:color w:val="auto"/>
          <w:sz w:val="32"/>
          <w:szCs w:val="32"/>
          <w:highlight w:val="none"/>
          <w:vertAlign w:val="baseline"/>
          <w:lang w:eastAsia="zh-CN" w:bidi="ar"/>
        </w:rPr>
      </w:pPr>
      <w:r>
        <w:rPr>
          <w:rFonts w:hint="eastAsia" w:ascii="Times New Roman" w:hAnsi="Times New Roman" w:eastAsia="仿宋_GB2312" w:cs="仿宋_GB2312"/>
          <w:b w:val="0"/>
          <w:bCs w:val="0"/>
          <w:caps w:val="0"/>
          <w:snapToGrid w:val="0"/>
          <w:color w:val="auto"/>
          <w:kern w:val="2"/>
          <w:sz w:val="32"/>
          <w:szCs w:val="32"/>
          <w:highlight w:val="none"/>
          <w:vertAlign w:val="baseline"/>
          <w:lang w:val="en-US" w:eastAsia="zh-CN" w:bidi="ar"/>
        </w:rPr>
        <w:t>以广西北部湾海域人工与海洋哺乳动物声学网络为研究对象，开展基于视听多模态融合的海洋生物</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w:t>
      </w:r>
      <w:r>
        <w:rPr>
          <w:rFonts w:hint="eastAsia" w:ascii="Times New Roman" w:hAnsi="Times New Roman" w:eastAsia="仿宋_GB2312" w:cs="仿宋_GB2312"/>
          <w:b w:val="0"/>
          <w:bCs w:val="0"/>
          <w:caps w:val="0"/>
          <w:snapToGrid w:val="0"/>
          <w:color w:val="auto"/>
          <w:kern w:val="2"/>
          <w:sz w:val="32"/>
          <w:szCs w:val="32"/>
          <w:highlight w:val="none"/>
          <w:vertAlign w:val="baseline"/>
          <w:lang w:val="en-US" w:eastAsia="zh-CN" w:bidi="ar"/>
        </w:rPr>
        <w:t>人工声学协同表征机制、“生物友好”约束下的动态频谱认知接入优化方法、去中心化多智能体协同博弈与资源均衡分配机理等研究，解决海洋通信频谱利用率低下、噪声污染大等关键科学问题。</w:t>
      </w:r>
    </w:p>
    <w:p w14:paraId="7630B62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outlineLvl w:val="9"/>
        <w:rPr>
          <w:rFonts w:hint="default" w:ascii="Times New Roman" w:hAnsi="Times New Roman" w:eastAsia="仿宋_GB2312" w:cs="Times New Roman"/>
          <w:b/>
          <w:caps w:val="0"/>
          <w:strike w:val="0"/>
          <w:color w:val="auto"/>
          <w:sz w:val="32"/>
          <w:szCs w:val="32"/>
          <w:highlight w:val="none"/>
          <w:vertAlign w:val="baseline"/>
        </w:rPr>
      </w:pPr>
      <w:r>
        <w:rPr>
          <w:rFonts w:hint="default" w:ascii="Times New Roman" w:hAnsi="Times New Roman" w:eastAsia="仿宋_GB2312" w:cs="Times New Roman"/>
          <w:b/>
          <w:bCs w:val="0"/>
          <w:caps w:val="0"/>
          <w:strike w:val="0"/>
          <w:color w:val="auto"/>
          <w:kern w:val="2"/>
          <w:sz w:val="32"/>
          <w:szCs w:val="32"/>
          <w:highlight w:val="none"/>
          <w:vertAlign w:val="baseline"/>
          <w:lang w:val="en-US" w:eastAsia="zh-CN" w:bidi="ar"/>
        </w:rPr>
        <w:t>1</w:t>
      </w:r>
      <w:r>
        <w:rPr>
          <w:rFonts w:hint="eastAsia" w:ascii="Times New Roman" w:hAnsi="Times New Roman" w:eastAsia="仿宋_GB2312" w:cs="Times New Roman"/>
          <w:b/>
          <w:bCs w:val="0"/>
          <w:caps w:val="0"/>
          <w:strike w:val="0"/>
          <w:color w:val="auto"/>
          <w:kern w:val="2"/>
          <w:sz w:val="32"/>
          <w:szCs w:val="32"/>
          <w:highlight w:val="none"/>
          <w:vertAlign w:val="baseline"/>
          <w:lang w:val="en-US" w:eastAsia="zh-CN" w:bidi="ar"/>
        </w:rPr>
        <w:t>2</w:t>
      </w:r>
      <w:r>
        <w:rPr>
          <w:rFonts w:hint="eastAsia" w:ascii="仿宋_GB2312" w:hAnsi="Times New Roman" w:eastAsia="仿宋_GB2312" w:cs="仿宋_GB2312"/>
          <w:b/>
          <w:bCs/>
          <w:caps w:val="0"/>
          <w:strike w:val="0"/>
          <w:snapToGrid w:val="0"/>
          <w:color w:val="auto"/>
          <w:kern w:val="2"/>
          <w:sz w:val="32"/>
          <w:szCs w:val="32"/>
          <w:highlight w:val="none"/>
          <w:vertAlign w:val="baseline"/>
          <w:lang w:val="en-US" w:eastAsia="zh-CN" w:bidi="ar"/>
        </w:rPr>
        <w:t xml:space="preserve">. </w:t>
      </w:r>
      <w:r>
        <w:rPr>
          <w:rFonts w:hint="eastAsia" w:ascii="Times New Roman" w:hAnsi="Times New Roman" w:eastAsia="仿宋_GB2312" w:cs="仿宋_GB2312"/>
          <w:b/>
          <w:bCs w:val="0"/>
          <w:caps w:val="0"/>
          <w:strike w:val="0"/>
          <w:color w:val="auto"/>
          <w:kern w:val="2"/>
          <w:sz w:val="32"/>
          <w:szCs w:val="32"/>
          <w:highlight w:val="none"/>
          <w:vertAlign w:val="baseline"/>
          <w:lang w:val="en-US" w:eastAsia="zh-CN" w:bidi="ar"/>
        </w:rPr>
        <w:t>人工智能赋能宇宙大尺度结构数值模拟</w:t>
      </w:r>
    </w:p>
    <w:p w14:paraId="21EC14A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Times New Roman" w:hAnsi="Times New Roman" w:eastAsia="仿宋_GB2312" w:cs="仿宋_GB2312"/>
          <w:b w:val="0"/>
          <w:bCs w:val="0"/>
          <w:caps w:val="0"/>
          <w:strike w:val="0"/>
          <w:snapToGrid w:val="0"/>
          <w:color w:val="auto"/>
          <w:kern w:val="2"/>
          <w:sz w:val="32"/>
          <w:szCs w:val="32"/>
          <w:highlight w:val="none"/>
          <w:vertAlign w:val="baseline"/>
          <w:lang w:val="en-US" w:eastAsia="zh-CN" w:bidi="ar"/>
        </w:rPr>
      </w:pPr>
      <w:r>
        <w:rPr>
          <w:rFonts w:hint="eastAsia" w:ascii="Times New Roman" w:hAnsi="Times New Roman" w:eastAsia="仿宋_GB2312" w:cs="仿宋_GB2312"/>
          <w:b w:val="0"/>
          <w:bCs w:val="0"/>
          <w:caps w:val="0"/>
          <w:strike w:val="0"/>
          <w:color w:val="auto"/>
          <w:kern w:val="2"/>
          <w:sz w:val="32"/>
          <w:szCs w:val="32"/>
          <w:highlight w:val="none"/>
          <w:vertAlign w:val="baseline"/>
          <w:lang w:val="en-US" w:eastAsia="zh-CN" w:bidi="ar"/>
        </w:rPr>
        <w:t>以宇宙大尺度结构演化为研究对象</w:t>
      </w:r>
      <w:r>
        <w:rPr>
          <w:rFonts w:hint="eastAsia" w:ascii="Times New Roman" w:hAnsi="Times New Roman" w:eastAsia="仿宋_GB2312" w:cs="仿宋_GB2312"/>
          <w:b w:val="0"/>
          <w:bCs w:val="0"/>
          <w:caps w:val="0"/>
          <w:strike w:val="0"/>
          <w:snapToGrid w:val="0"/>
          <w:color w:val="auto"/>
          <w:kern w:val="2"/>
          <w:sz w:val="32"/>
          <w:szCs w:val="32"/>
          <w:highlight w:val="none"/>
          <w:vertAlign w:val="baseline"/>
          <w:lang w:val="en-US" w:eastAsia="zh-CN" w:bidi="ar"/>
        </w:rPr>
        <w:t>，应用人工智能技术</w:t>
      </w:r>
      <w:r>
        <w:rPr>
          <w:rFonts w:hint="eastAsia" w:ascii="Times New Roman" w:hAnsi="Times New Roman" w:eastAsia="仿宋_GB2312" w:cs="仿宋_GB2312"/>
          <w:b w:val="0"/>
          <w:bCs w:val="0"/>
          <w:caps w:val="0"/>
          <w:strike w:val="0"/>
          <w:color w:val="auto"/>
          <w:kern w:val="2"/>
          <w:sz w:val="32"/>
          <w:szCs w:val="32"/>
          <w:highlight w:val="none"/>
          <w:vertAlign w:val="baseline"/>
          <w:lang w:val="en-US" w:eastAsia="zh-CN" w:bidi="ar"/>
        </w:rPr>
        <w:t>开展精确宇宙学应用基础研究，针对</w:t>
      </w:r>
      <w:r>
        <w:rPr>
          <w:rFonts w:hint="eastAsia" w:ascii="Times New Roman" w:hAnsi="Times New Roman" w:eastAsia="仿宋_GB2312" w:cs="仿宋_GB2312"/>
          <w:b w:val="0"/>
          <w:bCs w:val="0"/>
          <w:caps w:val="0"/>
          <w:strike w:val="0"/>
          <w:snapToGrid w:val="0"/>
          <w:color w:val="auto"/>
          <w:kern w:val="2"/>
          <w:sz w:val="32"/>
          <w:szCs w:val="32"/>
          <w:highlight w:val="none"/>
          <w:vertAlign w:val="baseline"/>
          <w:lang w:val="en-US" w:eastAsia="zh-CN" w:bidi="ar"/>
        </w:rPr>
        <w:t>暗物质晕的空间分布及大尺度运动规律、宇宙高精度大动态范围模拟等问题开展研究，实现对宇宙结构演化的理论预言，在精度和速度上取得突破。</w:t>
      </w:r>
    </w:p>
    <w:p w14:paraId="36331AC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Times New Roman" w:hAnsi="Times New Roman" w:eastAsia="仿宋_GB2312" w:cs="仿宋_GB2312"/>
          <w:b w:val="0"/>
          <w:bCs w:val="0"/>
          <w:caps w:val="0"/>
          <w:strike w:val="0"/>
          <w:snapToGrid w:val="0"/>
          <w:color w:val="auto"/>
          <w:kern w:val="2"/>
          <w:sz w:val="32"/>
          <w:szCs w:val="32"/>
          <w:highlight w:val="none"/>
          <w:vertAlign w:val="baseline"/>
          <w:lang w:val="en-US" w:eastAsia="zh-CN" w:bidi="ar"/>
        </w:rPr>
      </w:pPr>
    </w:p>
    <w:p w14:paraId="67ED687E"/>
    <w:sectPr>
      <w:footerReference r:id="rId3" w:type="default"/>
      <w:pgSz w:w="11906" w:h="16838"/>
      <w:pgMar w:top="2098" w:right="1531" w:bottom="1701" w:left="1211" w:header="851" w:footer="1304" w:gutter="0"/>
      <w:pgNumType w:fmt="decimal"/>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__WRD_EMBED_SUB_45">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07BE1">
    <w:pPr>
      <w:pStyle w:val="3"/>
      <w:ind w:right="360" w:firstLine="360"/>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309D1">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E309D1">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25665"/>
    <w:rsid w:val="3EAB0813"/>
    <w:rsid w:val="4FB7B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line="240" w:lineRule="auto"/>
      <w:ind w:left="0" w:firstLine="0"/>
      <w:jc w:val="both"/>
    </w:pPr>
    <w:rPr>
      <w:rFonts w:hint="default" w:ascii="Times New Roman" w:hAnsi="Times New Roman" w:eastAsia="宋体" w:cs="Times New Roman"/>
      <w:kern w:val="2"/>
      <w:sz w:val="21"/>
      <w:szCs w:val="24"/>
      <w:lang w:val="en-US" w:eastAsia="zh-CN" w:bidi="ar"/>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basedOn w:val="8"/>
    <w:next w:val="9"/>
    <w:qFormat/>
    <w:uiPriority w:val="0"/>
    <w:pPr>
      <w:keepNext w:val="0"/>
      <w:keepLines w:val="0"/>
      <w:widowControl w:val="0"/>
      <w:suppressLineNumbers w:val="0"/>
      <w:autoSpaceDE w:val="0"/>
      <w:autoSpaceDN w:val="0"/>
      <w:adjustRightInd w:val="0"/>
      <w:spacing w:before="0" w:beforeAutospacing="0" w:after="0" w:afterAutospacing="0" w:line="240" w:lineRule="auto"/>
      <w:ind w:left="0" w:firstLine="0"/>
      <w:jc w:val="left"/>
    </w:pPr>
    <w:rPr>
      <w:rFonts w:hint="eastAsia" w:ascii="宋体" w:hAnsi="宋体" w:eastAsia="宋体" w:cs="宋体"/>
      <w:color w:val="000000"/>
      <w:kern w:val="0"/>
      <w:sz w:val="24"/>
      <w:szCs w:val="24"/>
      <w:lang w:val="en-US" w:eastAsia="zh-CN" w:bidi="ar"/>
    </w:rPr>
  </w:style>
  <w:style w:type="paragraph" w:customStyle="1" w:styleId="8">
    <w:name w:val="纯文本1"/>
    <w:basedOn w:val="1"/>
    <w:qFormat/>
    <w:uiPriority w:val="0"/>
    <w:pPr>
      <w:textAlignment w:val="baseline"/>
    </w:pPr>
    <w:rPr>
      <w:rFonts w:hint="eastAsia" w:ascii="宋体" w:hAnsi="Courier New"/>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2021</Words>
  <Characters>2039</Characters>
  <Lines>0</Lines>
  <Paragraphs>0</Paragraphs>
  <TotalTime>0</TotalTime>
  <ScaleCrop>false</ScaleCrop>
  <LinksUpToDate>false</LinksUpToDate>
  <CharactersWithSpaces>2051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JCH</cp:lastModifiedBy>
  <dcterms:modified xsi:type="dcterms:W3CDTF">2025-06-20T03:21:23Z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2CAF43BCB86745AC9D162D25B24F7A78_13</vt:lpwstr>
  </property>
</Properties>
</file>