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Autospacing="0" w:afterAutospacing="0" w:line="560" w:lineRule="exact"/>
        <w:jc w:val="both"/>
        <w:rPr>
          <w:rFonts w:eastAsia="黑体"/>
          <w:sz w:val="32"/>
          <w:szCs w:val="32"/>
          <w:shd w:val="clear" w:color="auto" w:fill="FFFFFF"/>
        </w:rPr>
      </w:pPr>
      <w:r>
        <w:rPr>
          <w:rFonts w:eastAsia="黑体"/>
          <w:sz w:val="32"/>
          <w:szCs w:val="32"/>
          <w:shd w:val="clear" w:color="auto" w:fill="FFFFFF"/>
        </w:rPr>
        <w:t>附件1</w:t>
      </w:r>
    </w:p>
    <w:p>
      <w:pPr>
        <w:pStyle w:val="6"/>
        <w:shd w:val="clear" w:color="auto" w:fill="FFFFFF"/>
        <w:spacing w:beforeAutospacing="0" w:afterAutospacing="0" w:line="560" w:lineRule="exact"/>
        <w:jc w:val="both"/>
        <w:rPr>
          <w:rFonts w:eastAsia="黑体"/>
          <w:sz w:val="32"/>
          <w:szCs w:val="32"/>
          <w:shd w:val="clear" w:color="auto" w:fill="FFFFFF"/>
        </w:rPr>
      </w:pPr>
    </w:p>
    <w:p>
      <w:pPr>
        <w:pStyle w:val="6"/>
        <w:shd w:val="clear" w:color="auto" w:fill="FFFFFF"/>
        <w:spacing w:beforeAutospacing="0" w:afterAutospacing="0" w:line="600" w:lineRule="exact"/>
        <w:ind w:firstLine="880" w:firstLineChars="20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2024年度广西科技界智库重点课题</w:t>
      </w:r>
    </w:p>
    <w:p>
      <w:pPr>
        <w:pStyle w:val="6"/>
        <w:shd w:val="clear" w:color="auto" w:fill="FFFFFF"/>
        <w:spacing w:beforeAutospacing="0" w:afterAutospacing="0" w:line="60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申报指南</w:t>
      </w:r>
    </w:p>
    <w:p>
      <w:pPr>
        <w:pStyle w:val="6"/>
        <w:shd w:val="clear" w:color="auto" w:fill="FFFFFF"/>
        <w:spacing w:beforeAutospacing="0" w:afterAutospacing="0" w:line="560" w:lineRule="exact"/>
        <w:ind w:firstLine="880" w:firstLineChars="200"/>
        <w:jc w:val="center"/>
        <w:rPr>
          <w:rFonts w:eastAsia="方正小标宋简体"/>
          <w:sz w:val="44"/>
          <w:szCs w:val="44"/>
          <w:shd w:val="clear" w:color="auto" w:fill="FFFFFF"/>
        </w:rPr>
      </w:pPr>
    </w:p>
    <w:p>
      <w:pPr>
        <w:pStyle w:val="6"/>
        <w:shd w:val="clear" w:color="auto" w:fill="FFFFFF"/>
        <w:spacing w:beforeAutospacing="0" w:afterAutospacing="0" w:line="560" w:lineRule="exact"/>
        <w:ind w:firstLine="640" w:firstLineChars="200"/>
        <w:jc w:val="both"/>
        <w:rPr>
          <w:rFonts w:eastAsia="黑体"/>
          <w:sz w:val="32"/>
          <w:szCs w:val="32"/>
          <w:shd w:val="clear" w:color="auto" w:fill="FFFFFF"/>
        </w:rPr>
      </w:pPr>
      <w:r>
        <w:rPr>
          <w:rFonts w:eastAsia="黑体"/>
          <w:sz w:val="32"/>
          <w:szCs w:val="32"/>
          <w:shd w:val="clear" w:color="auto" w:fill="FFFFFF"/>
        </w:rPr>
        <w:t>一、揭榜类课题基本要求</w:t>
      </w:r>
    </w:p>
    <w:p>
      <w:pPr>
        <w:pStyle w:val="6"/>
        <w:shd w:val="clear" w:color="auto" w:fill="FFFFFF"/>
        <w:spacing w:beforeAutospacing="0" w:afterAutospacing="0" w:line="560" w:lineRule="exact"/>
        <w:ind w:firstLine="640" w:firstLineChars="200"/>
        <w:jc w:val="both"/>
        <w:rPr>
          <w:rFonts w:eastAsia="仿宋_GB2312"/>
          <w:sz w:val="32"/>
          <w:szCs w:val="32"/>
          <w:shd w:val="clear" w:color="auto" w:fill="FFFFFF"/>
        </w:rPr>
      </w:pPr>
      <w:r>
        <w:rPr>
          <w:rFonts w:eastAsia="仿宋_GB2312"/>
          <w:sz w:val="32"/>
          <w:szCs w:val="32"/>
          <w:shd w:val="clear" w:color="auto" w:fill="FFFFFF"/>
        </w:rPr>
        <w:t>2024年拟组织开展五项揭榜类课题，基本要求如下：</w:t>
      </w:r>
    </w:p>
    <w:p>
      <w:pPr>
        <w:pStyle w:val="6"/>
        <w:shd w:val="clear" w:color="auto" w:fill="FFFFFF"/>
        <w:spacing w:beforeAutospacing="0" w:afterAutospacing="0" w:line="560" w:lineRule="exact"/>
        <w:ind w:firstLine="640" w:firstLineChars="200"/>
        <w:jc w:val="both"/>
        <w:rPr>
          <w:rFonts w:eastAsia="楷体_GB2312"/>
          <w:sz w:val="32"/>
          <w:szCs w:val="32"/>
          <w:shd w:val="clear" w:color="auto" w:fill="FFFFFF"/>
        </w:rPr>
      </w:pPr>
      <w:r>
        <w:rPr>
          <w:rFonts w:eastAsia="楷体_GB2312"/>
          <w:sz w:val="32"/>
          <w:szCs w:val="32"/>
          <w:shd w:val="clear" w:color="auto" w:fill="FFFFFF"/>
        </w:rPr>
        <w:t>（一）研究内容</w:t>
      </w:r>
    </w:p>
    <w:p>
      <w:pPr>
        <w:pStyle w:val="6"/>
        <w:shd w:val="clear" w:color="auto" w:fill="FFFFFF"/>
        <w:spacing w:beforeAutospacing="0" w:afterAutospacing="0" w:line="560" w:lineRule="exact"/>
        <w:ind w:firstLine="643" w:firstLineChars="200"/>
        <w:jc w:val="both"/>
        <w:rPr>
          <w:rFonts w:eastAsia="仿宋_GB2312"/>
          <w:b/>
          <w:bCs/>
          <w:kern w:val="2"/>
          <w:sz w:val="32"/>
          <w:szCs w:val="32"/>
        </w:rPr>
      </w:pPr>
      <w:r>
        <w:rPr>
          <w:rFonts w:eastAsia="仿宋_GB2312"/>
          <w:b/>
          <w:bCs/>
          <w:kern w:val="2"/>
          <w:sz w:val="32"/>
          <w:szCs w:val="32"/>
        </w:rPr>
        <w:t>1.广西科研院所科技创新支撑农业高质量发展研究</w:t>
      </w:r>
    </w:p>
    <w:p>
      <w:pPr>
        <w:pStyle w:val="6"/>
        <w:shd w:val="clear" w:color="auto" w:fill="FFFFFF"/>
        <w:spacing w:beforeAutospacing="0" w:afterAutospacing="0" w:line="560" w:lineRule="exact"/>
        <w:ind w:firstLine="616" w:firstLineChars="200"/>
        <w:jc w:val="both"/>
        <w:rPr>
          <w:rFonts w:eastAsia="仿宋_GB2312"/>
          <w:spacing w:val="-6"/>
          <w:kern w:val="2"/>
          <w:sz w:val="32"/>
          <w:szCs w:val="32"/>
        </w:rPr>
      </w:pPr>
      <w:r>
        <w:rPr>
          <w:rFonts w:eastAsia="仿宋_GB2312"/>
          <w:spacing w:val="-6"/>
          <w:kern w:val="2"/>
          <w:sz w:val="32"/>
          <w:szCs w:val="32"/>
        </w:rPr>
        <w:t>农业强国是社会主义现代化强国的根基，发展农业新质生产力，也将成为新时代农业高质量发展的重要抓手。科研院所作为农业科技创新的重要组成部分，在推动农业现代化和农业高质量发展方面具有重要作用，承载了解决农业发展中的关键问题和推动农业生产方式转变的重任。课题要求深入分析广西农业高质量发展中的现状、特点以及影响高质量发展的主要问题与瓶颈，探讨科研院所科技创新如何支撑农业高质量发展，针对制约高质量发展的主要问题与瓶颈提出相应的对策与建议，为科技创新驱动农业高质量发展提供参考和解决方案。</w:t>
      </w:r>
    </w:p>
    <w:p>
      <w:pPr>
        <w:pStyle w:val="6"/>
        <w:shd w:val="clear" w:color="auto" w:fill="FFFFFF"/>
        <w:spacing w:beforeAutospacing="0" w:afterAutospacing="0" w:line="560" w:lineRule="exact"/>
        <w:ind w:firstLine="643" w:firstLineChars="200"/>
        <w:jc w:val="both"/>
        <w:rPr>
          <w:rFonts w:eastAsia="仿宋_GB2312"/>
          <w:b/>
          <w:bCs/>
          <w:sz w:val="32"/>
          <w:szCs w:val="32"/>
          <w:shd w:val="clear" w:color="auto" w:fill="FFFFFF"/>
        </w:rPr>
      </w:pPr>
      <w:r>
        <w:rPr>
          <w:rFonts w:eastAsia="仿宋_GB2312"/>
          <w:b/>
          <w:bCs/>
          <w:sz w:val="32"/>
          <w:szCs w:val="32"/>
          <w:shd w:val="clear" w:color="auto" w:fill="FFFFFF"/>
        </w:rPr>
        <w:t>2.广西面向东盟的算力平台构建和应用研究</w:t>
      </w:r>
    </w:p>
    <w:p>
      <w:pPr>
        <w:pStyle w:val="6"/>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eastAsia="仿宋_GB2312"/>
          <w:kern w:val="2"/>
          <w:sz w:val="32"/>
          <w:szCs w:val="32"/>
        </w:rPr>
        <w:t>习近平总书记2023年在广西考察时指出，建设</w:t>
      </w:r>
      <w:r>
        <w:rPr>
          <w:rFonts w:hint="eastAsia" w:ascii="仿宋_GB2312" w:eastAsia="仿宋_GB2312"/>
          <w:kern w:val="2"/>
          <w:sz w:val="32"/>
          <w:szCs w:val="32"/>
        </w:rPr>
        <w:t>中国—东盟</w:t>
      </w:r>
      <w:r>
        <w:rPr>
          <w:rFonts w:eastAsia="仿宋_GB2312"/>
          <w:kern w:val="2"/>
          <w:sz w:val="32"/>
          <w:szCs w:val="32"/>
        </w:rPr>
        <w:t>信息港是推动共</w:t>
      </w:r>
      <w:r>
        <w:rPr>
          <w:rFonts w:hint="eastAsia" w:ascii="仿宋_GB2312" w:eastAsia="仿宋_GB2312"/>
          <w:kern w:val="2"/>
          <w:sz w:val="32"/>
          <w:szCs w:val="32"/>
        </w:rPr>
        <w:t>建“一带一路”、加强</w:t>
      </w:r>
      <w:r>
        <w:rPr>
          <w:rFonts w:eastAsia="仿宋_GB2312"/>
          <w:kern w:val="2"/>
          <w:sz w:val="32"/>
          <w:szCs w:val="32"/>
        </w:rPr>
        <w:t>我国与东盟国家互联互通的一项重要举措。算力平台作为重要的数字基础设施，是加强中</w:t>
      </w:r>
      <w:r>
        <w:rPr>
          <w:rFonts w:hint="eastAsia" w:ascii="仿宋_GB2312" w:eastAsia="仿宋_GB2312"/>
          <w:kern w:val="2"/>
          <w:sz w:val="32"/>
          <w:szCs w:val="32"/>
        </w:rPr>
        <w:t>国—东盟信息化、数字化合作和应用的基础。课题要求在深入调研分析广西与东盟在数字化合作与应用的实际情况和需求，探讨算力平台的构建、数据中心管理体系的建立，算力服务优化与创新的路径，以及广西与东盟国家在算力平台构建和应用方面的合作交流机制，为推动广西与东盟国家在数字领域的深度合作等提出可操作性的对策建议。</w:t>
      </w:r>
    </w:p>
    <w:p>
      <w:pPr>
        <w:pStyle w:val="6"/>
        <w:shd w:val="clear" w:color="auto" w:fill="FFFFFF"/>
        <w:spacing w:beforeAutospacing="0" w:afterAutospacing="0" w:line="560" w:lineRule="exact"/>
        <w:ind w:firstLine="643" w:firstLineChars="200"/>
        <w:jc w:val="both"/>
        <w:rPr>
          <w:rFonts w:eastAsia="仿宋_GB2312"/>
          <w:b/>
          <w:bCs/>
          <w:sz w:val="32"/>
          <w:szCs w:val="32"/>
          <w:shd w:val="clear" w:color="auto" w:fill="FFFFFF"/>
        </w:rPr>
      </w:pPr>
      <w:r>
        <w:rPr>
          <w:rFonts w:eastAsia="仿宋_GB2312"/>
          <w:b/>
          <w:bCs/>
          <w:sz w:val="32"/>
          <w:szCs w:val="32"/>
          <w:shd w:val="clear" w:color="auto" w:fill="FFFFFF"/>
        </w:rPr>
        <w:t>3.校市合作推进广西产业振兴的路径及对策研究</w:t>
      </w:r>
    </w:p>
    <w:p>
      <w:pPr>
        <w:spacing w:line="560" w:lineRule="exact"/>
        <w:ind w:firstLine="640" w:firstLineChars="200"/>
        <w:textAlignment w:val="baseline"/>
        <w:rPr>
          <w:rFonts w:eastAsia="仿宋_GB2312"/>
          <w:sz w:val="32"/>
          <w:szCs w:val="32"/>
        </w:rPr>
      </w:pPr>
      <w:r>
        <w:rPr>
          <w:rFonts w:eastAsia="仿宋_GB2312"/>
          <w:sz w:val="32"/>
          <w:szCs w:val="32"/>
        </w:rPr>
        <w:t>深化校市合作是贯彻落实党的教育方针,履行高校社会服务职能</w:t>
      </w:r>
      <w:r>
        <w:rPr>
          <w:rFonts w:hint="eastAsia" w:eastAsia="仿宋_GB2312"/>
          <w:sz w:val="32"/>
          <w:szCs w:val="32"/>
        </w:rPr>
        <w:t>，</w:t>
      </w:r>
      <w:r>
        <w:rPr>
          <w:rFonts w:eastAsia="仿宋_GB2312"/>
          <w:sz w:val="32"/>
          <w:szCs w:val="32"/>
        </w:rPr>
        <w:t>促进地方社会经济发展，加强科技成果转化应用的重要举措。广西实施新一轮工业振兴三年行动，加快推进新型工业化，建设现代化产业体系，其中高校是天然的技术和人才的供给侧。课题要求深入分析广西在产业振兴中遇到的痛点和难点，探究校市合作中高校与城市如何利用自身优势解决问题，总结校市合作共同推进广西产业振兴、助力广西现代化产业体系建设的成果做法路径，为打造校市合作新典范提供对策建议。</w:t>
      </w:r>
    </w:p>
    <w:p>
      <w:pPr>
        <w:pStyle w:val="6"/>
        <w:shd w:val="clear" w:color="auto" w:fill="FFFFFF"/>
        <w:spacing w:beforeAutospacing="0" w:afterAutospacing="0" w:line="560" w:lineRule="exact"/>
        <w:ind w:firstLine="643" w:firstLineChars="200"/>
        <w:jc w:val="both"/>
        <w:rPr>
          <w:rFonts w:eastAsia="仿宋_GB2312"/>
          <w:b/>
          <w:bCs/>
          <w:sz w:val="32"/>
          <w:szCs w:val="32"/>
          <w:shd w:val="clear" w:color="auto" w:fill="FFFFFF"/>
        </w:rPr>
      </w:pPr>
      <w:r>
        <w:rPr>
          <w:rFonts w:eastAsia="仿宋_GB2312"/>
          <w:b/>
          <w:bCs/>
          <w:sz w:val="32"/>
          <w:szCs w:val="32"/>
          <w:shd w:val="clear" w:color="auto" w:fill="FFFFFF"/>
        </w:rPr>
        <w:t>4.广西低空经济高质量发展研究</w:t>
      </w:r>
    </w:p>
    <w:p>
      <w:pPr>
        <w:spacing w:line="560" w:lineRule="exact"/>
        <w:ind w:firstLine="640" w:firstLineChars="200"/>
        <w:rPr>
          <w:rFonts w:eastAsia="仿宋_GB2312"/>
          <w:sz w:val="32"/>
          <w:szCs w:val="32"/>
          <w:shd w:val="clear" w:color="auto" w:fill="FFFFFF"/>
        </w:rPr>
      </w:pPr>
      <w:r>
        <w:rPr>
          <w:rFonts w:eastAsia="仿宋_GB2312"/>
          <w:sz w:val="32"/>
          <w:szCs w:val="32"/>
          <w:shd w:val="clear" w:color="auto" w:fill="FFFFFF"/>
        </w:rPr>
        <w:t>2024年3月，国务</w:t>
      </w:r>
      <w:r>
        <w:rPr>
          <w:rFonts w:hint="eastAsia" w:ascii="仿宋_GB2312" w:eastAsia="仿宋_GB2312"/>
          <w:sz w:val="32"/>
          <w:szCs w:val="32"/>
          <w:shd w:val="clear" w:color="auto" w:fill="FFFFFF"/>
        </w:rPr>
        <w:t>院将“低空经济”写入政府工</w:t>
      </w:r>
      <w:r>
        <w:rPr>
          <w:rFonts w:eastAsia="仿宋_GB2312"/>
          <w:sz w:val="32"/>
          <w:szCs w:val="32"/>
          <w:shd w:val="clear" w:color="auto" w:fill="FFFFFF"/>
        </w:rPr>
        <w:t>作报告，将其作为新兴产业和未来产业，打造新增长引擎。面对发展新质生产力的重大机遇，广西抢抓发展窗口期，加速布局低空经济产业，为经济发展增添了新活力、注入了新动能。课题要求梳理国家关于低空经济发展的政策体系，广泛深入了解国内外低空经济发展的行业趋势、发展前景和产业布局，借鉴国内先发地区的经验，聚焦无人机产业发展，结合广西实际提出</w:t>
      </w:r>
      <w:r>
        <w:rPr>
          <w:rFonts w:hint="eastAsia" w:eastAsia="仿宋_GB2312"/>
          <w:sz w:val="32"/>
          <w:szCs w:val="32"/>
          <w:shd w:val="clear" w:color="auto" w:fill="FFFFFF"/>
        </w:rPr>
        <w:t>具</w:t>
      </w:r>
      <w:r>
        <w:rPr>
          <w:rFonts w:eastAsia="仿宋_GB2312"/>
          <w:sz w:val="32"/>
          <w:szCs w:val="32"/>
          <w:shd w:val="clear" w:color="auto" w:fill="FFFFFF"/>
        </w:rPr>
        <w:t>有前瞻性、科学性</w:t>
      </w:r>
      <w:r>
        <w:rPr>
          <w:rFonts w:hint="eastAsia" w:eastAsia="仿宋_GB2312"/>
          <w:sz w:val="32"/>
          <w:szCs w:val="32"/>
          <w:shd w:val="clear" w:color="auto" w:fill="FFFFFF"/>
        </w:rPr>
        <w:t>和可</w:t>
      </w:r>
      <w:r>
        <w:rPr>
          <w:rFonts w:eastAsia="仿宋_GB2312"/>
          <w:sz w:val="32"/>
          <w:szCs w:val="32"/>
          <w:shd w:val="clear" w:color="auto" w:fill="FFFFFF"/>
        </w:rPr>
        <w:t>操作性的举措，为我区低空经济勾画出清晰明确、具体可落地的发展路径，为相关决策提供参考。</w:t>
      </w:r>
    </w:p>
    <w:p>
      <w:pPr>
        <w:pStyle w:val="6"/>
        <w:shd w:val="clear" w:color="auto" w:fill="FFFFFF"/>
        <w:spacing w:beforeAutospacing="0" w:afterAutospacing="0" w:line="560" w:lineRule="exact"/>
        <w:ind w:firstLine="643" w:firstLineChars="200"/>
        <w:jc w:val="both"/>
        <w:rPr>
          <w:rFonts w:eastAsia="仿宋_GB2312"/>
          <w:b/>
          <w:bCs/>
          <w:sz w:val="32"/>
          <w:szCs w:val="32"/>
        </w:rPr>
      </w:pPr>
      <w:r>
        <w:rPr>
          <w:rFonts w:eastAsia="仿宋_GB2312"/>
          <w:b/>
          <w:bCs/>
          <w:sz w:val="32"/>
          <w:szCs w:val="32"/>
          <w:shd w:val="clear" w:color="auto" w:fill="FFFFFF"/>
        </w:rPr>
        <w:t>5.</w:t>
      </w:r>
      <w:r>
        <w:rPr>
          <w:rFonts w:eastAsia="仿宋_GB2312"/>
          <w:b/>
          <w:bCs/>
          <w:sz w:val="32"/>
          <w:szCs w:val="32"/>
        </w:rPr>
        <w:t>广西加快形成新质生产力的路径与策略研究</w:t>
      </w:r>
    </w:p>
    <w:p>
      <w:pPr>
        <w:pStyle w:val="6"/>
        <w:shd w:val="clear" w:color="auto" w:fill="FFFFFF"/>
        <w:spacing w:beforeAutospacing="0" w:afterAutospacing="0" w:line="560" w:lineRule="exact"/>
        <w:ind w:firstLine="640" w:firstLineChars="200"/>
        <w:jc w:val="both"/>
        <w:rPr>
          <w:rFonts w:eastAsia="仿宋_GB2312"/>
          <w:sz w:val="32"/>
          <w:szCs w:val="32"/>
        </w:rPr>
      </w:pPr>
      <w:r>
        <w:rPr>
          <w:rFonts w:eastAsia="仿宋_GB2312"/>
          <w:sz w:val="32"/>
          <w:szCs w:val="32"/>
          <w:shd w:val="clear" w:color="auto" w:fill="FFFFFF"/>
        </w:rPr>
        <w:t>新质生产力是生产力质的跃迁，是经济高质量发展的要求，也是实现社会主义现代化强国战略目标的重要推动力。广西应主动适应新一轮科技革命和产业变革，深入实施创新驱动发展战略、科教兴桂战略、人才强桂战略，加快培育新质生产力。</w:t>
      </w:r>
      <w:r>
        <w:rPr>
          <w:rFonts w:eastAsia="仿宋_GB2312"/>
          <w:sz w:val="32"/>
          <w:szCs w:val="32"/>
        </w:rPr>
        <w:t>课题要求深入分析我区发展新质生产力的基础和优势、面临的障碍，总结区外发展新质生产力的先进经验和做法，针对存在的问题和短板，提出广西加快形成新质生产力的路径和对策，为自治区统筹部署发展新质生产力，推动高质量发展，塑造新动能新优势提供决策参考。</w:t>
      </w:r>
    </w:p>
    <w:p>
      <w:pPr>
        <w:pStyle w:val="6"/>
        <w:shd w:val="clear" w:color="auto" w:fill="FFFFFF"/>
        <w:spacing w:beforeAutospacing="0" w:afterAutospacing="0" w:line="560" w:lineRule="exact"/>
        <w:ind w:firstLine="640" w:firstLineChars="200"/>
        <w:jc w:val="both"/>
        <w:rPr>
          <w:rFonts w:ascii="仿宋_GB2312" w:eastAsia="仿宋_GB2312"/>
          <w:kern w:val="2"/>
          <w:sz w:val="32"/>
          <w:szCs w:val="32"/>
        </w:rPr>
      </w:pPr>
      <w:r>
        <w:rPr>
          <w:rFonts w:eastAsia="楷体_GB2312"/>
          <w:sz w:val="32"/>
          <w:szCs w:val="32"/>
          <w:shd w:val="clear" w:color="auto" w:fill="FFFFFF"/>
        </w:rPr>
        <w:t>（二）经费安排。</w:t>
      </w:r>
      <w:r>
        <w:rPr>
          <w:rFonts w:eastAsia="仿宋_GB2312"/>
          <w:kern w:val="2"/>
          <w:sz w:val="32"/>
          <w:szCs w:val="32"/>
        </w:rPr>
        <w:t>每个课题给予5万元研究经费。研究经费</w:t>
      </w:r>
      <w:r>
        <w:rPr>
          <w:rFonts w:hint="eastAsia" w:ascii="仿宋_GB2312" w:eastAsia="仿宋_GB2312"/>
          <w:kern w:val="2"/>
          <w:sz w:val="32"/>
          <w:szCs w:val="32"/>
        </w:rPr>
        <w:t>实行“包干制”，不足部分承担单位可自行安排配套资金或自筹解决。</w:t>
      </w:r>
    </w:p>
    <w:p>
      <w:pPr>
        <w:spacing w:line="560" w:lineRule="exact"/>
        <w:ind w:firstLine="640" w:firstLineChars="200"/>
        <w:rPr>
          <w:rFonts w:eastAsia="仿宋_GB2312"/>
          <w:sz w:val="32"/>
          <w:szCs w:val="32"/>
          <w:shd w:val="clear" w:color="auto" w:fill="FFFFFF"/>
        </w:rPr>
      </w:pPr>
      <w:r>
        <w:rPr>
          <w:rFonts w:eastAsia="楷体_GB2312"/>
          <w:sz w:val="32"/>
          <w:szCs w:val="32"/>
          <w:shd w:val="clear" w:color="auto" w:fill="FFFFFF"/>
        </w:rPr>
        <w:t>（三）结项要求。</w:t>
      </w:r>
      <w:r>
        <w:rPr>
          <w:rFonts w:eastAsia="仿宋_GB2312"/>
          <w:sz w:val="32"/>
          <w:szCs w:val="32"/>
          <w:shd w:val="clear" w:color="auto" w:fill="FFFFFF"/>
        </w:rPr>
        <w:t>2025年2月14日前提交不少于2万字的研究报告1份，约3500字的决策咨询专报1份。</w:t>
      </w:r>
      <w:r>
        <w:rPr>
          <w:rFonts w:eastAsia="仿宋_GB2312"/>
          <w:sz w:val="32"/>
          <w:szCs w:val="32"/>
        </w:rPr>
        <w:t>要求知网查重全文总文字复制比不超过20%，其中主要研究结论和对策措施的文字复制比不超过10%，课题组发表的与本课题相关且标注为自治区科协专项立项的研究成果（论文、著作等）中的文字不计入文字复制比。</w:t>
      </w:r>
      <w:r>
        <w:rPr>
          <w:rFonts w:eastAsia="仿宋_GB2312"/>
          <w:sz w:val="32"/>
          <w:szCs w:val="32"/>
          <w:shd w:val="clear" w:color="auto" w:fill="FFFFFF"/>
        </w:rPr>
        <w:t>经现场专家评审，符合结项要求的课题，将颁发结题证书。逾期提交视为违约。</w:t>
      </w:r>
    </w:p>
    <w:p>
      <w:pPr>
        <w:pStyle w:val="6"/>
        <w:shd w:val="clear" w:color="auto" w:fill="FFFFFF"/>
        <w:spacing w:beforeAutospacing="0" w:afterAutospacing="0" w:line="560" w:lineRule="exact"/>
        <w:ind w:firstLine="640" w:firstLineChars="200"/>
        <w:jc w:val="both"/>
        <w:rPr>
          <w:rFonts w:eastAsia="黑体"/>
          <w:sz w:val="32"/>
          <w:szCs w:val="32"/>
          <w:shd w:val="clear" w:color="auto" w:fill="FFFFFF"/>
        </w:rPr>
      </w:pPr>
      <w:r>
        <w:rPr>
          <w:rFonts w:eastAsia="黑体"/>
          <w:sz w:val="32"/>
          <w:szCs w:val="32"/>
          <w:shd w:val="clear" w:color="auto" w:fill="FFFFFF"/>
        </w:rPr>
        <w:t>二、自选类课题基本要求</w:t>
      </w:r>
    </w:p>
    <w:p>
      <w:pPr>
        <w:pStyle w:val="6"/>
        <w:shd w:val="clear" w:color="auto" w:fill="FFFFFF"/>
        <w:spacing w:beforeAutospacing="0" w:afterAutospacing="0" w:line="560" w:lineRule="exact"/>
        <w:ind w:firstLine="640" w:firstLineChars="200"/>
        <w:jc w:val="both"/>
        <w:rPr>
          <w:rFonts w:eastAsia="仿宋_GB2312"/>
          <w:kern w:val="2"/>
          <w:sz w:val="32"/>
          <w:szCs w:val="32"/>
        </w:rPr>
      </w:pPr>
      <w:r>
        <w:rPr>
          <w:rFonts w:eastAsia="仿宋_GB2312"/>
          <w:kern w:val="2"/>
          <w:sz w:val="32"/>
          <w:szCs w:val="32"/>
        </w:rPr>
        <w:t>自选类课题是指由课题组或课题负责人自拟题目，自筹经费的课题。</w:t>
      </w:r>
    </w:p>
    <w:p>
      <w:pPr>
        <w:pStyle w:val="6"/>
        <w:shd w:val="clear" w:color="auto" w:fill="FFFFFF"/>
        <w:spacing w:beforeAutospacing="0" w:afterAutospacing="0" w:line="560" w:lineRule="exact"/>
        <w:ind w:firstLine="640" w:firstLineChars="200"/>
        <w:jc w:val="both"/>
        <w:rPr>
          <w:rFonts w:eastAsia="楷体_GB2312"/>
          <w:sz w:val="32"/>
          <w:szCs w:val="32"/>
          <w:shd w:val="clear" w:color="auto" w:fill="FFFFFF"/>
        </w:rPr>
      </w:pPr>
      <w:r>
        <w:rPr>
          <w:rFonts w:eastAsia="楷体_GB2312"/>
          <w:sz w:val="32"/>
          <w:szCs w:val="32"/>
          <w:shd w:val="clear" w:color="auto" w:fill="FFFFFF"/>
        </w:rPr>
        <w:t>（一）研究方向</w:t>
      </w:r>
    </w:p>
    <w:p>
      <w:pPr>
        <w:spacing w:line="560" w:lineRule="exact"/>
        <w:ind w:firstLine="640" w:firstLineChars="200"/>
        <w:rPr>
          <w:rFonts w:eastAsia="仿宋_GB2312"/>
          <w:b/>
          <w:bCs/>
          <w:sz w:val="36"/>
          <w:szCs w:val="36"/>
        </w:rPr>
      </w:pPr>
      <w:r>
        <w:rPr>
          <w:rFonts w:eastAsia="仿宋_GB2312"/>
          <w:sz w:val="32"/>
          <w:szCs w:val="32"/>
          <w:shd w:val="clear" w:color="auto" w:fill="FFFFFF"/>
        </w:rPr>
        <w:t>研究需贯彻落实</w:t>
      </w:r>
      <w:r>
        <w:rPr>
          <w:rFonts w:eastAsia="仿宋_GB2312"/>
          <w:sz w:val="32"/>
          <w:szCs w:val="32"/>
        </w:rPr>
        <w:t>习近平总书记对广西重大方略要求，围绕党委、政府工作布局、中心任务、重点工作，紧扣有关科技经济融合、科技创新、科学普及、人才培养、科研环境、科技政策等方面的重点、难点和热点问题，有针对性地开展调研课题研究。研究为公共政策性研究，一般需包含存在的问题、现状，并提出对策建议。</w:t>
      </w:r>
      <w:r>
        <w:rPr>
          <w:rFonts w:eastAsia="仿宋_GB2312"/>
          <w:b/>
          <w:bCs/>
          <w:sz w:val="36"/>
          <w:szCs w:val="36"/>
        </w:rPr>
        <w:t>纯技术性研究类课题不在本次范围内。</w:t>
      </w:r>
    </w:p>
    <w:p>
      <w:pPr>
        <w:pStyle w:val="6"/>
        <w:shd w:val="clear" w:color="auto" w:fill="FFFFFF"/>
        <w:spacing w:beforeAutospacing="0" w:afterAutospacing="0" w:line="560" w:lineRule="exact"/>
        <w:ind w:firstLine="640" w:firstLineChars="200"/>
        <w:jc w:val="both"/>
        <w:rPr>
          <w:rFonts w:eastAsia="仿宋_GB2312"/>
          <w:kern w:val="2"/>
          <w:sz w:val="32"/>
          <w:szCs w:val="32"/>
        </w:rPr>
      </w:pPr>
      <w:r>
        <w:rPr>
          <w:rFonts w:eastAsia="楷体_GB2312"/>
          <w:sz w:val="32"/>
          <w:szCs w:val="32"/>
          <w:shd w:val="clear" w:color="auto" w:fill="FFFFFF"/>
        </w:rPr>
        <w:t>（二）经费安排。</w:t>
      </w:r>
      <w:r>
        <w:rPr>
          <w:rFonts w:eastAsia="仿宋_GB2312"/>
          <w:kern w:val="2"/>
          <w:sz w:val="32"/>
          <w:szCs w:val="32"/>
        </w:rPr>
        <w:t>课题研究经费由承担单位或课题组自行安排和筹集。在公开刊物发表与课题研究相符论文的，可作为结题评优参考依据。</w:t>
      </w:r>
    </w:p>
    <w:p>
      <w:pPr>
        <w:pStyle w:val="6"/>
        <w:shd w:val="clear" w:color="auto" w:fill="FFFFFF"/>
        <w:spacing w:beforeAutospacing="0" w:afterAutospacing="0" w:line="560" w:lineRule="exact"/>
        <w:ind w:firstLine="640" w:firstLineChars="200"/>
        <w:jc w:val="both"/>
        <w:rPr>
          <w:rFonts w:eastAsia="仿宋_GB2312"/>
          <w:sz w:val="32"/>
          <w:szCs w:val="32"/>
          <w:shd w:val="clear" w:color="auto" w:fill="FFFFFF"/>
        </w:rPr>
      </w:pPr>
      <w:r>
        <w:rPr>
          <w:rFonts w:eastAsia="楷体_GB2312"/>
          <w:sz w:val="32"/>
          <w:szCs w:val="32"/>
          <w:shd w:val="clear" w:color="auto" w:fill="FFFFFF"/>
        </w:rPr>
        <w:t>（三）结项要求。</w:t>
      </w:r>
      <w:r>
        <w:rPr>
          <w:rFonts w:eastAsia="仿宋_GB2312"/>
          <w:sz w:val="32"/>
          <w:szCs w:val="32"/>
          <w:shd w:val="clear" w:color="auto" w:fill="FFFFFF"/>
        </w:rPr>
        <w:t>2025年2月14日前提交1万字符合质量要求的研究报告1份，约3000字的决策咨询专报1份或理论文章1份；</w:t>
      </w:r>
      <w:r>
        <w:rPr>
          <w:rFonts w:eastAsia="仿宋_GB2312"/>
          <w:kern w:val="2"/>
          <w:sz w:val="32"/>
          <w:szCs w:val="32"/>
        </w:rPr>
        <w:t>要求知网查重全文总文字复制比不超过20%，其中主要研究结论和对策措施的文字复制比不超过10%，课题组发表的与本课题相关且标注为自治区科协专项立项的研究成果（论文、著作等）中的文字不计入文字复制比。</w:t>
      </w:r>
      <w:r>
        <w:rPr>
          <w:rFonts w:eastAsia="仿宋_GB2312"/>
          <w:sz w:val="32"/>
          <w:szCs w:val="32"/>
          <w:shd w:val="clear" w:color="auto" w:fill="FFFFFF"/>
        </w:rPr>
        <w:t>经集中评审，验收合格的，我会给课题组颁发结题证书。逾期提交视为违约。</w:t>
      </w:r>
    </w:p>
    <w:p>
      <w:pPr>
        <w:pStyle w:val="6"/>
        <w:widowControl/>
        <w:shd w:val="clear" w:color="auto" w:fill="FFFFFF"/>
        <w:spacing w:beforeAutospacing="0" w:afterAutospacing="0" w:line="560" w:lineRule="exact"/>
        <w:jc w:val="center"/>
        <w:rPr>
          <w:rFonts w:ascii="方正小标宋简体" w:hAnsi="方正小标宋简体" w:eastAsia="方正小标宋简体" w:cs="方正小标宋简体"/>
          <w:sz w:val="44"/>
          <w:szCs w:val="44"/>
          <w:shd w:val="clear" w:color="auto" w:fill="FFFFFF"/>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hN2E2ZmVlOTllMjI5YWNiNDk3OTNlZTNkZGEzNGUifQ=="/>
  </w:docVars>
  <w:rsids>
    <w:rsidRoot w:val="00000000"/>
    <w:rsid w:val="52040E60"/>
    <w:rsid w:val="57A376D9"/>
    <w:rsid w:val="5C2E6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jc w:val="center"/>
      <w:outlineLvl w:val="3"/>
    </w:pPr>
    <w:rPr>
      <w:b/>
      <w:sz w:val="24"/>
      <w:szCs w:val="20"/>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2367</Words>
  <Characters>2415</Characters>
  <Lines>0</Lines>
  <Paragraphs>0</Paragraphs>
  <TotalTime>9</TotalTime>
  <ScaleCrop>false</ScaleCrop>
  <LinksUpToDate>false</LinksUpToDate>
  <CharactersWithSpaces>2554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2024-06-12T11:29:00Z</dcterms:created>
  <dc:creator>Administrator</dc:creator>
  <cp:lastModifiedBy>刘书言</cp:lastModifiedBy>
  <dcterms:modified xsi:type="dcterms:W3CDTF">2024-06-12T11:51:31Z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7E3E1FF0E94E4FE0912C564471C60878_12</vt:lpwstr>
  </property>
</Properties>
</file>