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A81C2">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sz w:val="32"/>
          <w:szCs w:val="32"/>
        </w:rPr>
      </w:pPr>
    </w:p>
    <w:p w14:paraId="5D0008F9">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sz w:val="32"/>
          <w:szCs w:val="32"/>
        </w:rPr>
      </w:pPr>
    </w:p>
    <w:p w14:paraId="2F10F39F">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sz w:val="32"/>
          <w:szCs w:val="32"/>
        </w:rPr>
      </w:pPr>
    </w:p>
    <w:p w14:paraId="20BAFCB3">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sz w:val="32"/>
          <w:szCs w:val="32"/>
        </w:rPr>
      </w:pPr>
    </w:p>
    <w:p w14:paraId="0ED0D30D">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sz w:val="32"/>
          <w:szCs w:val="32"/>
        </w:rPr>
      </w:pPr>
    </w:p>
    <w:p w14:paraId="60CC5C66">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eastAsia="方正小标宋简体"/>
          <w:color w:val="FF0000"/>
          <w:spacing w:val="40"/>
          <w:sz w:val="52"/>
          <w:szCs w:val="52"/>
          <w:lang w:eastAsia="zh-CN"/>
        </w:rPr>
      </w:pPr>
      <w:r>
        <w:rPr>
          <w:rFonts w:hint="eastAsia" w:ascii="方正小标宋简体" w:eastAsia="方正小标宋简体"/>
          <w:color w:val="FF0000"/>
          <w:spacing w:val="0"/>
          <w:sz w:val="52"/>
          <w:szCs w:val="52"/>
        </w:rPr>
        <w:t>中共广西壮族自治区</w:t>
      </w:r>
      <w:r>
        <w:rPr>
          <w:rFonts w:hint="eastAsia" w:ascii="方正小标宋简体" w:eastAsia="方正小标宋简体"/>
          <w:color w:val="FF0000"/>
          <w:spacing w:val="0"/>
          <w:sz w:val="52"/>
          <w:szCs w:val="52"/>
          <w:lang w:eastAsia="zh-CN"/>
        </w:rPr>
        <w:t>委员会</w:t>
      </w:r>
    </w:p>
    <w:p w14:paraId="4294DA9E">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ascii="方正小标宋简体" w:eastAsia="方正小标宋简体"/>
          <w:color w:val="FF0000"/>
          <w:spacing w:val="0"/>
          <w:sz w:val="90"/>
          <w:szCs w:val="90"/>
        </w:rPr>
      </w:pPr>
      <w:r>
        <w:rPr>
          <w:rFonts w:hint="eastAsia" w:ascii="方正小标宋简体" w:eastAsia="方正小标宋简体"/>
          <w:color w:val="FF0000"/>
          <w:spacing w:val="0"/>
          <w:sz w:val="86"/>
          <w:szCs w:val="86"/>
        </w:rPr>
        <w:t>科技委员会办公室文件</w:t>
      </w:r>
    </w:p>
    <w:p w14:paraId="457A5D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2"/>
          <w:szCs w:val="32"/>
        </w:rPr>
      </w:pPr>
    </w:p>
    <w:p w14:paraId="770E424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桂科规字〔</w:t>
      </w:r>
      <w:r>
        <w:rPr>
          <w:rFonts w:hint="default" w:ascii="Times New Roman" w:hAnsi="Times New Roman" w:eastAsia="仿宋_GB2312"/>
          <w:color w:val="000000"/>
          <w:sz w:val="32"/>
          <w:szCs w:val="32"/>
          <w:lang w:val="en" w:eastAsia="zh-CN"/>
        </w:rPr>
        <w:t>2026</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13</w:t>
      </w:r>
      <w:r>
        <w:rPr>
          <w:rFonts w:hint="eastAsia" w:ascii="Times New Roman" w:hAnsi="Times New Roman" w:eastAsia="仿宋_GB2312"/>
          <w:color w:val="000000"/>
          <w:sz w:val="32"/>
          <w:szCs w:val="32"/>
          <w:lang w:eastAsia="zh-CN"/>
        </w:rPr>
        <w:t>号</w:t>
      </w:r>
    </w:p>
    <w:p w14:paraId="1BC7A7C2">
      <w:pPr>
        <w:spacing w:line="900" w:lineRule="exact"/>
        <w:jc w:val="center"/>
        <w:rPr>
          <w:rFonts w:ascii="仿宋_GB2312" w:hAnsi="Times New Roman" w:eastAsia="仿宋_GB2312"/>
          <w:sz w:val="32"/>
        </w:rPr>
      </w:pPr>
      <w:r>
        <w:rPr>
          <w:rFonts w:ascii="仿宋_GB2312"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129540</wp:posOffset>
                </wp:positionV>
                <wp:extent cx="5687695" cy="0"/>
                <wp:effectExtent l="0" t="13970" r="12065" b="1651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4.45pt;margin-top:10.2pt;height:0pt;width:447.85pt;z-index:251659264;mso-width-relative:page;mso-height-relative:page;" filled="f" stroked="t" coordsize="21600,21600" o:gfxdata="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KSy&#10;rNUAAAAIAQAADwAAAAAAAAABACAAAAAiAAAAZHJzL2Rvd25yZXYueG1sUEsBAhQAFAAAAAgAh07i&#10;QPxlTPXsAQAAuQMAAA4AAAAAAAAAAQAgAAAAJAEAAGRycy9lMm9Eb2MueG1sUEsFBgAAAAAGAAYA&#10;WQEAAIIFAAAAAA==&#10;">
                <v:fill on="f" focussize="0,0"/>
                <v:stroke weight="2.25pt" color="#FF0000" joinstyle="round"/>
                <v:imagedata o:title=""/>
                <o:lock v:ext="edit" aspectratio="f"/>
              </v:line>
            </w:pict>
          </mc:Fallback>
        </mc:AlternateContent>
      </w:r>
    </w:p>
    <w:p w14:paraId="7FC6A2A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自治区党委科技委员会办公室关于印发</w:t>
      </w:r>
    </w:p>
    <w:p w14:paraId="7E5F372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6" w:name="_GoBack"/>
      <w:bookmarkEnd w:id="6"/>
      <w:r>
        <w:rPr>
          <w:rFonts w:hint="eastAsia" w:ascii="方正小标宋简体" w:hAnsi="方正小标宋简体" w:eastAsia="方正小标宋简体" w:cs="方正小标宋简体"/>
          <w:color w:val="auto"/>
          <w:sz w:val="44"/>
          <w:szCs w:val="44"/>
          <w:lang w:val="en-US" w:eastAsia="zh-CN"/>
        </w:rPr>
        <w:t>《广西壮族自治区科技成果转化</w:t>
      </w:r>
    </w:p>
    <w:p w14:paraId="6DCDDEE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基地管理办法》的通知</w:t>
      </w:r>
    </w:p>
    <w:p w14:paraId="04538968">
      <w:pPr>
        <w:pStyle w:val="13"/>
        <w:keepNext w:val="0"/>
        <w:keepLines w:val="0"/>
        <w:pageBreakBefore w:val="0"/>
        <w:shd w:val="clear" w:color="auto" w:fill="auto"/>
        <w:kinsoku/>
        <w:topLinePunct w:val="0"/>
        <w:bidi w:val="0"/>
        <w:snapToGrid/>
        <w:spacing w:line="560" w:lineRule="exact"/>
        <w:textAlignment w:val="auto"/>
        <w:rPr>
          <w:rFonts w:hint="eastAsia"/>
          <w:lang w:val="en-US" w:eastAsia="zh-CN"/>
        </w:rPr>
      </w:pPr>
    </w:p>
    <w:p w14:paraId="4CDA47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各</w:t>
      </w:r>
      <w:r>
        <w:rPr>
          <w:rFonts w:hint="eastAsia" w:ascii="仿宋_GB2312" w:hAnsi="仿宋_GB2312" w:eastAsia="仿宋_GB2312" w:cs="仿宋_GB2312"/>
          <w:i w:val="0"/>
          <w:caps w:val="0"/>
          <w:color w:val="auto"/>
          <w:spacing w:val="0"/>
          <w:sz w:val="32"/>
          <w:szCs w:val="32"/>
          <w:shd w:val="clear" w:color="auto" w:fill="FFFFFF"/>
          <w:lang w:eastAsia="zh-CN"/>
        </w:rPr>
        <w:t>有关单位</w:t>
      </w:r>
      <w:r>
        <w:rPr>
          <w:rFonts w:hint="eastAsia" w:ascii="仿宋_GB2312" w:hAnsi="仿宋_GB2312" w:eastAsia="仿宋_GB2312" w:cs="仿宋_GB2312"/>
          <w:i w:val="0"/>
          <w:caps w:val="0"/>
          <w:color w:val="auto"/>
          <w:spacing w:val="0"/>
          <w:sz w:val="32"/>
          <w:szCs w:val="32"/>
          <w:shd w:val="clear" w:color="auto" w:fill="FFFFFF"/>
        </w:rPr>
        <w:t>：</w:t>
      </w:r>
    </w:p>
    <w:p w14:paraId="7F906E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《广西壮族自治区科技成果转化基地管理办法》已经自治区党委科技办同意，现印发给你们，请认真贯彻执行。</w:t>
      </w:r>
    </w:p>
    <w:p w14:paraId="5AD975E9">
      <w:pPr>
        <w:keepNext w:val="0"/>
        <w:keepLines w:val="0"/>
        <w:pageBreakBefore w:val="0"/>
        <w:widowControl w:val="0"/>
        <w:shd w:val="clear" w:color="auto" w:fill="auto"/>
        <w:kinsoku/>
        <w:wordWrap/>
        <w:overflowPunct w:val="0"/>
        <w:topLinePunct w:val="0"/>
        <w:bidi w:val="0"/>
        <w:snapToGrid/>
        <w:spacing w:line="560" w:lineRule="exact"/>
        <w:textAlignment w:val="auto"/>
        <w:rPr>
          <w:rFonts w:hint="eastAsia" w:eastAsia="仿宋_GB2312"/>
          <w:color w:val="auto"/>
          <w:sz w:val="32"/>
          <w:szCs w:val="22"/>
        </w:rPr>
      </w:pPr>
    </w:p>
    <w:p w14:paraId="6E569B19">
      <w:pPr>
        <w:pStyle w:val="13"/>
        <w:keepNext w:val="0"/>
        <w:keepLines w:val="0"/>
        <w:pageBreakBefore w:val="0"/>
        <w:widowControl w:val="0"/>
        <w:shd w:val="clear" w:color="auto" w:fill="auto"/>
        <w:kinsoku/>
        <w:wordWrap/>
        <w:topLinePunct w:val="0"/>
        <w:bidi w:val="0"/>
        <w:snapToGrid/>
        <w:spacing w:line="560" w:lineRule="exact"/>
        <w:textAlignment w:val="auto"/>
        <w:rPr>
          <w:rFonts w:hint="eastAsia"/>
        </w:rPr>
      </w:pPr>
    </w:p>
    <w:p w14:paraId="1FEB8C9C">
      <w:pPr>
        <w:keepNext w:val="0"/>
        <w:keepLines w:val="0"/>
        <w:pageBreakBefore w:val="0"/>
        <w:widowControl w:val="0"/>
        <w:shd w:val="clear" w:color="auto" w:fill="auto"/>
        <w:kinsoku/>
        <w:wordWrap w:val="0"/>
        <w:overflowPunct w:val="0"/>
        <w:topLinePunct w:val="0"/>
        <w:bidi w:val="0"/>
        <w:snapToGrid/>
        <w:spacing w:line="560" w:lineRule="exact"/>
        <w:ind w:firstLine="548" w:firstLineChars="200"/>
        <w:jc w:val="right"/>
        <w:textAlignment w:val="auto"/>
        <w:rPr>
          <w:rFonts w:hint="default" w:eastAsia="仿宋_GB2312"/>
          <w:color w:val="auto"/>
          <w:sz w:val="32"/>
          <w:szCs w:val="32"/>
          <w:lang w:val="en-US"/>
        </w:rPr>
      </w:pPr>
      <w:r>
        <w:rPr>
          <w:rFonts w:hint="eastAsia" w:eastAsia="仿宋_GB2312"/>
          <w:color w:val="auto"/>
          <w:spacing w:val="-23"/>
          <w:w w:val="100"/>
          <w:sz w:val="32"/>
          <w:szCs w:val="32"/>
          <w:lang w:eastAsia="zh-CN"/>
        </w:rPr>
        <w:t>中共广西壮族自治区委员会科技委员会办公室（代）</w:t>
      </w:r>
    </w:p>
    <w:p w14:paraId="7D42E3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color w:val="auto"/>
          <w:spacing w:val="0"/>
          <w:sz w:val="32"/>
          <w:szCs w:val="32"/>
          <w:lang w:val="en-US" w:eastAsia="zh-CN"/>
        </w:rPr>
      </w:pPr>
      <w:r>
        <w:rPr>
          <w:rFonts w:ascii="Times New Roman" w:hAnsi="Times New Roman" w:eastAsia="仿宋_GB2312" w:cs="Times New Roman"/>
          <w:color w:val="auto"/>
          <w:spacing w:val="0"/>
          <w:sz w:val="32"/>
          <w:szCs w:val="32"/>
          <w:lang w:val="en"/>
        </w:rPr>
        <w:t>2026</w:t>
      </w:r>
      <w:r>
        <w:rPr>
          <w:rFonts w:ascii="Times New Roman" w:hAnsi="Times New Roman" w:eastAsia="仿宋_GB2312" w:cs="Times New Roman"/>
          <w:color w:val="auto"/>
          <w:spacing w:val="0"/>
          <w:sz w:val="32"/>
          <w:szCs w:val="32"/>
        </w:rPr>
        <w:t>年</w:t>
      </w:r>
      <w:r>
        <w:rPr>
          <w:rFonts w:hint="eastAsia" w:ascii="Times New Roman" w:hAnsi="Times New Roman" w:eastAsia="仿宋_GB2312" w:cs="Times New Roman"/>
          <w:color w:val="auto"/>
          <w:spacing w:val="0"/>
          <w:sz w:val="32"/>
          <w:szCs w:val="32"/>
          <w:lang w:val="en-US" w:eastAsia="zh-CN"/>
        </w:rPr>
        <w:t>6</w:t>
      </w:r>
      <w:r>
        <w:rPr>
          <w:rFonts w:ascii="Times New Roman" w:hAnsi="Times New Roman" w:eastAsia="仿宋_GB2312" w:cs="Times New Roman"/>
          <w:color w:val="auto"/>
          <w:spacing w:val="0"/>
          <w:sz w:val="32"/>
          <w:szCs w:val="32"/>
        </w:rPr>
        <w:t>月</w:t>
      </w:r>
      <w:r>
        <w:rPr>
          <w:rFonts w:hint="eastAsia" w:ascii="Times New Roman" w:hAnsi="Times New Roman" w:eastAsia="仿宋_GB2312" w:cs="Times New Roman"/>
          <w:color w:val="auto"/>
          <w:spacing w:val="0"/>
          <w:sz w:val="32"/>
          <w:szCs w:val="32"/>
          <w:lang w:val="en-US" w:eastAsia="zh-CN"/>
        </w:rPr>
        <w:t>24</w:t>
      </w:r>
      <w:r>
        <w:rPr>
          <w:rFonts w:ascii="Times New Roman" w:hAnsi="Times New Roman" w:eastAsia="仿宋_GB2312" w:cs="Times New Roman"/>
          <w:color w:val="auto"/>
          <w:spacing w:val="0"/>
          <w:sz w:val="32"/>
          <w:szCs w:val="32"/>
        </w:rPr>
        <w:t>日</w:t>
      </w:r>
      <w:r>
        <w:rPr>
          <w:rFonts w:hint="eastAsia" w:ascii="Times New Roman" w:hAnsi="Times New Roman" w:eastAsia="仿宋_GB2312" w:cs="Times New Roman"/>
          <w:color w:val="auto"/>
          <w:spacing w:val="0"/>
          <w:sz w:val="32"/>
          <w:szCs w:val="32"/>
          <w:lang w:val="en-US" w:eastAsia="zh-CN"/>
        </w:rPr>
        <w:t xml:space="preserve">            </w:t>
      </w:r>
    </w:p>
    <w:p w14:paraId="324C6D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spacing w:val="0"/>
          <w:sz w:val="32"/>
          <w:szCs w:val="32"/>
          <w:highlight w:val="none"/>
          <w:lang w:eastAsia="zh-CN"/>
        </w:rPr>
        <w:sectPr>
          <w:footerReference r:id="rId3" w:type="default"/>
          <w:pgSz w:w="11906" w:h="16838"/>
          <w:pgMar w:top="2098" w:right="1531" w:bottom="1417" w:left="1531" w:header="851" w:footer="1417" w:gutter="0"/>
          <w:pgNumType w:fmt="decimal"/>
          <w:cols w:space="720" w:num="1"/>
          <w:rtlGutter w:val="0"/>
          <w:docGrid w:type="lines" w:linePitch="312" w:charSpace="0"/>
        </w:sectPr>
      </w:pPr>
      <w:r>
        <w:rPr>
          <w:rFonts w:hint="eastAsia" w:ascii="仿宋_GB2312" w:hAnsi="仿宋_GB2312" w:eastAsia="仿宋_GB2312" w:cs="仿宋_GB2312"/>
          <w:i w:val="0"/>
          <w:caps w:val="0"/>
          <w:color w:val="auto"/>
          <w:spacing w:val="0"/>
          <w:sz w:val="32"/>
          <w:szCs w:val="32"/>
          <w:shd w:val="clear" w:color="auto" w:fill="FFFFFF"/>
        </w:rPr>
        <w:t>（此件公开发布）</w:t>
      </w:r>
    </w:p>
    <w:p w14:paraId="6FDE55E4">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outlineLvl w:val="2"/>
        <w:rPr>
          <w:rStyle w:val="12"/>
          <w:rFonts w:hint="eastAsia" w:ascii="方正小标宋简体" w:hAnsi="方正小标宋简体" w:eastAsia="方正小标宋简体" w:cs="方正小标宋简体"/>
          <w:b w:val="0"/>
          <w:bCs/>
          <w:color w:val="0F1115"/>
          <w:spacing w:val="0"/>
          <w:kern w:val="0"/>
          <w:sz w:val="44"/>
          <w:szCs w:val="44"/>
          <w:highlight w:val="none"/>
          <w:shd w:val="clear" w:color="auto" w:fill="FFFFFF"/>
          <w:lang w:val="en-US" w:eastAsia="zh-CN" w:bidi="ar-SA"/>
        </w:rPr>
      </w:pPr>
      <w:r>
        <w:rPr>
          <w:rStyle w:val="12"/>
          <w:rFonts w:hint="eastAsia" w:ascii="方正小标宋简体" w:hAnsi="方正小标宋简体" w:eastAsia="方正小标宋简体" w:cs="方正小标宋简体"/>
          <w:b w:val="0"/>
          <w:bCs/>
          <w:color w:val="0F1115"/>
          <w:spacing w:val="0"/>
          <w:kern w:val="2"/>
          <w:sz w:val="44"/>
          <w:szCs w:val="44"/>
          <w:highlight w:val="none"/>
          <w:shd w:val="clear" w:color="auto" w:fill="FFFFFF"/>
          <w:lang w:val="en-US" w:eastAsia="zh-CN" w:bidi="ar-SA"/>
        </w:rPr>
        <w:t>广西壮族自治区科技成果转化基地管理办法</w:t>
      </w:r>
    </w:p>
    <w:p w14:paraId="42CD630C">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rFonts w:eastAsia="宋体"/>
          <w:spacing w:val="0"/>
          <w:sz w:val="44"/>
          <w:szCs w:val="44"/>
          <w:highlight w:val="none"/>
        </w:rPr>
      </w:pPr>
    </w:p>
    <w:p w14:paraId="735C7EA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outlineLvl w:val="3"/>
        <w:rPr>
          <w:rStyle w:val="12"/>
          <w:rFonts w:hint="eastAsia" w:ascii="黑体" w:hAnsi="黑体" w:eastAsia="黑体" w:cs="黑体"/>
          <w:b w:val="0"/>
          <w:bCs/>
          <w:color w:val="0F1115"/>
          <w:spacing w:val="0"/>
          <w:kern w:val="0"/>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第一章  总则</w:t>
      </w:r>
    </w:p>
    <w:p w14:paraId="37133A67">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rFonts w:eastAsia="宋体"/>
          <w:spacing w:val="0"/>
          <w:highlight w:val="none"/>
        </w:rPr>
      </w:pPr>
    </w:p>
    <w:p w14:paraId="5ACD283B">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第一条</w:t>
      </w:r>
      <w:r>
        <w:rPr>
          <w:rStyle w:val="12"/>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为加强和规范广西壮族自治区科技成果转化基地（以下简称“成果转化基地”）建设与管理，加速推动先进科技成果落地转化，结合我区实际，制定本办法。</w:t>
      </w:r>
    </w:p>
    <w:p w14:paraId="16F532D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第二条</w:t>
      </w:r>
      <w:r>
        <w:rPr>
          <w:rStyle w:val="12"/>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成果转化基地是指以打通科技成果转化“最初一公里”到“最后一公里”为核心使命，贯通创新链、产业链与资本链的自治区级成果转化与产业化类科技创新平台基地，包括以下三类：</w:t>
      </w:r>
    </w:p>
    <w:p w14:paraId="1D6F35C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（一）概念验证中心：</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聚焦科技成果转化的前端环节，为早期科研成果提供原理验证、技术验证、产品验证及市场验证等服务，降低转化风险，提升技术成熟度和商业可行性。</w:t>
      </w:r>
    </w:p>
    <w:p w14:paraId="082255D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（二）</w:t>
      </w:r>
      <w:bookmarkStart w:id="0" w:name="OLE_LINK1"/>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科技成果转化中试研究基地</w:t>
      </w:r>
      <w:bookmarkEnd w:id="0"/>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（以下简称“中试基地”）：</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聚焦科技成果转化的中间环节，为科技成果提供样品试制、工艺验证、放大熟化、小批量试生产、产品性能检测、技术咨询服务等中试服务，打通从实验室样品到工业化产品的技术瓶颈。</w:t>
      </w:r>
    </w:p>
    <w:p w14:paraId="2824551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（三）科技型企业孵化器（以下简称“孵化器”）：</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聚焦科技成果转化的后端环节，为科技型初创企业和创业团队提供物理空间、创业辅导、投融资对接、市场拓展等全方位孵化服务，培育科技型企业，壮大创新主体。</w:t>
      </w:r>
    </w:p>
    <w:p w14:paraId="28A07C2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bookmarkStart w:id="1" w:name="OLE_LINK6"/>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第三条</w:t>
      </w:r>
      <w:r>
        <w:rPr>
          <w:rStyle w:val="12"/>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成果转化基地的建设目标是围绕自治区制造业十大现代化支柱产业发展需求，打通“概念验证—中试熟化—企业孵化—产业培育”的创新链条，持续催生新企业、形成新业态，为发展新质生产力提供有力支撑。</w:t>
      </w:r>
    </w:p>
    <w:bookmarkEnd w:id="1"/>
    <w:p w14:paraId="5A28C1EE">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both"/>
        <w:textAlignment w:val="auto"/>
        <w:outlineLvl w:val="3"/>
        <w:rPr>
          <w:rStyle w:val="12"/>
          <w:rFonts w:hint="eastAsia" w:ascii="黑体" w:hAnsi="黑体" w:eastAsia="黑体" w:cs="黑体"/>
          <w:b w:val="0"/>
          <w:bCs/>
          <w:color w:val="0F1115"/>
          <w:spacing w:val="0"/>
          <w:kern w:val="0"/>
          <w:sz w:val="32"/>
          <w:szCs w:val="32"/>
          <w:highlight w:val="none"/>
          <w:shd w:val="clear" w:color="auto" w:fill="FFFFFF"/>
          <w:lang w:val="en-US" w:eastAsia="zh-CN" w:bidi="ar-SA"/>
        </w:rPr>
      </w:pPr>
    </w:p>
    <w:p w14:paraId="2D277BD7">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outlineLvl w:val="3"/>
        <w:rPr>
          <w:rStyle w:val="12"/>
          <w:rFonts w:hint="eastAsia" w:ascii="黑体" w:hAnsi="黑体" w:eastAsia="黑体" w:cs="黑体"/>
          <w:b w:val="0"/>
          <w:bCs/>
          <w:color w:val="0F1115"/>
          <w:spacing w:val="0"/>
          <w:kern w:val="0"/>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第二章  职责</w:t>
      </w:r>
    </w:p>
    <w:p w14:paraId="18548582">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rFonts w:eastAsia="宋体"/>
          <w:spacing w:val="0"/>
          <w:highlight w:val="none"/>
        </w:rPr>
      </w:pPr>
    </w:p>
    <w:p w14:paraId="6F98FE4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第四条</w:t>
      </w:r>
      <w:r>
        <w:rPr>
          <w:rStyle w:val="12"/>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自治区科技厅是成果转化基地的牵头管理部门，主要职责是：</w:t>
      </w:r>
    </w:p>
    <w:p w14:paraId="4093F00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（一）贯彻落实国家有关成果转化平台建设与管理的政策措施。</w:t>
      </w:r>
    </w:p>
    <w:p w14:paraId="7800959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（二）研究制定成果转化基地的发展政策、管理办法和工作规程。</w:t>
      </w:r>
    </w:p>
    <w:p w14:paraId="1E65838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（三）编制和组织实施成果转化基地的建设计划，指导全区成果转化基地的建设与管理工作。</w:t>
      </w:r>
    </w:p>
    <w:p w14:paraId="02351D4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（四）负责组织成果转化基地的申报认定、年度报告、绩效评估、调整撤销等工作。</w:t>
      </w:r>
    </w:p>
    <w:p w14:paraId="6AB2C2F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（五）对全区成果转化基地管理工作进行常态化监督。</w:t>
      </w:r>
    </w:p>
    <w:p w14:paraId="636A1128">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第五条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自治区相关部门、设区市科学技术局（以下简称“市科技局”）、各高新区管委会是相关成果转化基地的主管部门，指导和支持符合条件的高等学校、科研机构、企事业单位等开展成果转化基地的申报与建设工作，主要职责是：</w:t>
      </w:r>
    </w:p>
    <w:p w14:paraId="45757D9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（一）负责本部门、本地区成果转化基地的规划和培育，结合实际制定相关政策，支持和推动所属成果转化基地的建设与发展。</w:t>
      </w:r>
    </w:p>
    <w:p w14:paraId="52B1316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（二）组织、初审和推荐本地区、行业成果转化基地的申报。</w:t>
      </w:r>
    </w:p>
    <w:p w14:paraId="0B66C24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（三）配合自治区科技厅做好成果转化基地的审核认定、年度报告和绩效评估等管理工作。</w:t>
      </w:r>
    </w:p>
    <w:p w14:paraId="2E58EAC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（四）对申报材料和年度报告、绩效评估材料进行审核把关。</w:t>
      </w:r>
    </w:p>
    <w:p w14:paraId="73BD01C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第六条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依托单位是成果转化基地建设和管理的具体责任单位，主要职责是：</w:t>
      </w:r>
    </w:p>
    <w:p w14:paraId="224EBAF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（一）负责成果转化基地的建设、运行和管理，建立健全组织架构和运行机制。</w:t>
      </w:r>
    </w:p>
    <w:p w14:paraId="6264AC5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（二）为成果转化基地的建设、运行和管理提供稳定的人、财、物等必备条件。</w:t>
      </w:r>
    </w:p>
    <w:p w14:paraId="71FF270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（三）按要求及时报告成果转化基地建设和运行过程中的重大事项变更，配合做好年度报告和绩效评估工作。</w:t>
      </w:r>
    </w:p>
    <w:p w14:paraId="67D7AEE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（四）承担成果转化基地科研作风学风与科研诚信建设、科技伦理治理的主体责任。</w:t>
      </w:r>
    </w:p>
    <w:p w14:paraId="2C7F7F5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第七条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共建单位是成果转化基地建设、运行和管理的协同单位，主要职责是：</w:t>
      </w:r>
    </w:p>
    <w:p w14:paraId="0CE79B0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（一）为成果转化基地建设、运行和管理提供相应的机构和人员配置，履行共建职责和义务。</w:t>
      </w:r>
    </w:p>
    <w:p w14:paraId="0ECCB26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（二）加强仪器设备等资源共享，支持成果转化基地的建设、运行和管理。</w:t>
      </w:r>
    </w:p>
    <w:p w14:paraId="569091CA">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jc w:val="center"/>
        <w:textAlignment w:val="auto"/>
        <w:outlineLvl w:val="3"/>
        <w:rPr>
          <w:rStyle w:val="12"/>
          <w:rFonts w:hint="eastAsia" w:ascii="黑体" w:hAnsi="黑体" w:eastAsia="黑体" w:cs="黑体"/>
          <w:b w:val="0"/>
          <w:bCs/>
          <w:color w:val="0F1115"/>
          <w:spacing w:val="0"/>
          <w:kern w:val="0"/>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第三章  申报与认定</w:t>
      </w:r>
    </w:p>
    <w:p w14:paraId="5D152EBF">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jc w:val="left"/>
        <w:textAlignment w:val="auto"/>
        <w:outlineLvl w:val="3"/>
        <w:rPr>
          <w:rFonts w:hint="eastAsia" w:ascii="宋体" w:hAnsi="宋体" w:eastAsia="宋体" w:cs="Times New Roman"/>
          <w:b/>
          <w:spacing w:val="0"/>
          <w:kern w:val="0"/>
          <w:sz w:val="24"/>
          <w:szCs w:val="24"/>
          <w:highlight w:val="none"/>
          <w:lang w:val="en-US" w:eastAsia="zh-CN" w:bidi="ar-SA"/>
        </w:rPr>
      </w:pPr>
    </w:p>
    <w:p w14:paraId="1E4FECE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第八条</w:t>
      </w:r>
      <w:r>
        <w:rPr>
          <w:rStyle w:val="12"/>
          <w:rFonts w:hint="eastAsia" w:ascii="仿宋_GB2312" w:hAnsi="仿宋_GB2312" w:eastAsia="仿宋_GB2312" w:cs="仿宋_GB2312"/>
          <w:b w:val="0"/>
          <w:bCs/>
          <w:color w:val="0F1115"/>
          <w:spacing w:val="0"/>
          <w:kern w:val="2"/>
          <w:sz w:val="32"/>
          <w:szCs w:val="32"/>
          <w:highlight w:val="none"/>
          <w:shd w:val="clear" w:color="auto" w:fill="FFFFFF"/>
          <w:lang w:val="en-US" w:eastAsia="zh-CN" w:bidi="ar-SA"/>
        </w:rPr>
        <w:t xml:space="preserve">  申报成果转化基地的单位应当</w:t>
      </w:r>
      <w:r>
        <w:rPr>
          <w:rFonts w:hint="eastAsia" w:ascii="仿宋_GB2312" w:hAnsi="仿宋_GB2312" w:eastAsia="仿宋_GB2312" w:cs="仿宋_GB2312"/>
          <w:bCs/>
          <w:color w:val="0F1115"/>
          <w:spacing w:val="0"/>
          <w:kern w:val="2"/>
          <w:sz w:val="32"/>
          <w:szCs w:val="32"/>
          <w:highlight w:val="none"/>
          <w:shd w:val="clear" w:color="auto" w:fill="FFFFFF"/>
          <w:lang w:val="en-US" w:eastAsia="zh-CN" w:bidi="ar-SA"/>
        </w:rPr>
        <w:t>具</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备独立法人资格</w:t>
      </w:r>
      <w:r>
        <w:rPr>
          <w:rStyle w:val="12"/>
          <w:rFonts w:hint="eastAsia" w:ascii="仿宋_GB2312" w:hAnsi="仿宋_GB2312" w:eastAsia="仿宋_GB2312" w:cs="仿宋_GB2312"/>
          <w:b w:val="0"/>
          <w:bCs/>
          <w:color w:val="0F1115"/>
          <w:spacing w:val="0"/>
          <w:kern w:val="2"/>
          <w:sz w:val="32"/>
          <w:szCs w:val="32"/>
          <w:highlight w:val="none"/>
          <w:shd w:val="clear" w:color="auto" w:fill="FFFFFF"/>
          <w:lang w:val="en-US" w:eastAsia="zh-CN" w:bidi="ar-SA"/>
        </w:rPr>
        <w:t>，注册地在广西，</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遵守国家法律法规，近</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3</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年内未发生重大环保、质量和安全事故，未被列为严重失信主体，没有重大违法行为或涉嫌重大违法正在接受有关部门审查等情况。</w:t>
      </w:r>
    </w:p>
    <w:p w14:paraId="11233D0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第九条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申报概念验证中心的单位应当具备以下条件：</w:t>
      </w:r>
    </w:p>
    <w:p w14:paraId="5A3ED2B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（一）</w:t>
      </w:r>
      <w:r>
        <w:rPr>
          <w:rStyle w:val="12"/>
          <w:rFonts w:hint="eastAsia" w:ascii="楷体_GB2312" w:hAnsi="楷体_GB2312" w:eastAsia="楷体_GB2312" w:cs="楷体_GB2312"/>
          <w:color w:val="0F1115"/>
          <w:spacing w:val="0"/>
          <w:kern w:val="2"/>
          <w:sz w:val="32"/>
          <w:szCs w:val="32"/>
          <w:highlight w:val="none"/>
          <w:shd w:val="clear" w:color="auto" w:fill="FFFFFF"/>
          <w:lang w:val="en-US" w:eastAsia="zh-CN" w:bidi="ar-SA"/>
        </w:rPr>
        <w:t>硬件条件</w:t>
      </w:r>
      <w:r>
        <w:rPr>
          <w:rFonts w:hint="eastAsia" w:ascii="楷体_GB2312" w:hAnsi="楷体_GB2312" w:eastAsia="楷体_GB2312" w:cs="楷体_GB2312"/>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拥有固定工作场</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所200平方米以上，具有完整的概念验证核心功能</w:t>
      </w:r>
      <w:r>
        <w:rPr>
          <w:rFonts w:hint="eastAsia" w:ascii="Times New Roman" w:hAnsi="Times New Roman" w:eastAsia="仿宋_GB2312" w:cs="Times New Roman"/>
          <w:color w:val="0F1115"/>
          <w:spacing w:val="0"/>
          <w:kern w:val="2"/>
          <w:sz w:val="32"/>
          <w:szCs w:val="32"/>
          <w:highlight w:val="none"/>
          <w:shd w:val="clear" w:color="auto" w:fill="FFFFFF"/>
          <w:lang w:val="en-US" w:eastAsia="zh-CN" w:bidi="ar-SA"/>
        </w:rPr>
        <w:t>所需</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的科学仪器设备及设施条件，科研仪器设备和软件原值不低于500万元。</w:t>
      </w:r>
    </w:p>
    <w:p w14:paraId="0B18C0A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（二）</w:t>
      </w:r>
      <w:r>
        <w:rPr>
          <w:rStyle w:val="12"/>
          <w:rFonts w:hint="eastAsia" w:ascii="楷体_GB2312" w:hAnsi="楷体_GB2312" w:eastAsia="楷体_GB2312" w:cs="楷体_GB2312"/>
          <w:color w:val="0F1115"/>
          <w:spacing w:val="0"/>
          <w:kern w:val="2"/>
          <w:sz w:val="32"/>
          <w:szCs w:val="32"/>
          <w:highlight w:val="none"/>
          <w:shd w:val="clear" w:color="auto" w:fill="FFFFFF"/>
          <w:lang w:val="en-US" w:eastAsia="zh-CN" w:bidi="ar-SA"/>
        </w:rPr>
        <w:t>人才队伍</w:t>
      </w:r>
      <w:r>
        <w:rPr>
          <w:rFonts w:hint="eastAsia" w:ascii="楷体_GB2312" w:hAnsi="楷体_GB2312" w:eastAsia="楷体_GB2312" w:cs="楷体_GB2312"/>
          <w:color w:val="0F1115"/>
          <w:spacing w:val="0"/>
          <w:kern w:val="2"/>
          <w:sz w:val="32"/>
          <w:szCs w:val="32"/>
          <w:highlight w:val="none"/>
          <w:shd w:val="clear" w:color="auto" w:fill="FFFFFF"/>
          <w:lang w:val="en-US" w:eastAsia="zh-CN" w:bidi="ar-SA"/>
        </w:rPr>
        <w:t>：</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拥有稳定、专业的人才队伍，从事概念验证服务的人员不少于10人，其中专职人员不少于5人；概念验证中心负责人应具有正高级职称，从事科技成果转化相关工作3年（含）以上，参与和促成的科技成果转化成功案例不少于3项。建立由学术界、产业界和投资界专家组成的概念验证服务专家团队，其中外单位专家不少于5人。</w:t>
      </w:r>
    </w:p>
    <w:p w14:paraId="2768B18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（三）资</w:t>
      </w:r>
      <w:r>
        <w:rPr>
          <w:rStyle w:val="12"/>
          <w:rFonts w:hint="eastAsia" w:ascii="楷体_GB2312" w:hAnsi="楷体_GB2312" w:eastAsia="楷体_GB2312" w:cs="楷体_GB2312"/>
          <w:color w:val="0F1115"/>
          <w:spacing w:val="0"/>
          <w:kern w:val="2"/>
          <w:sz w:val="32"/>
          <w:szCs w:val="32"/>
          <w:highlight w:val="none"/>
          <w:shd w:val="clear" w:color="auto" w:fill="FFFFFF"/>
          <w:lang w:val="en-US" w:eastAsia="zh-CN" w:bidi="ar-SA"/>
        </w:rPr>
        <w:t>金保障</w:t>
      </w:r>
      <w:r>
        <w:rPr>
          <w:rFonts w:hint="eastAsia" w:ascii="楷体_GB2312" w:hAnsi="楷体_GB2312" w:eastAsia="楷体_GB2312" w:cs="楷体_GB2312"/>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具备开展概念验证工作的运行经费保障，单独或与其他主体合作设立来源稳定且总额</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不低于500万元</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的概念验证专项资金。</w:t>
      </w:r>
    </w:p>
    <w:p w14:paraId="1CCA7ED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（四）管</w:t>
      </w:r>
      <w:r>
        <w:rPr>
          <w:rStyle w:val="12"/>
          <w:rFonts w:hint="eastAsia" w:ascii="楷体_GB2312" w:hAnsi="楷体_GB2312" w:eastAsia="楷体_GB2312" w:cs="楷体_GB2312"/>
          <w:color w:val="0F1115"/>
          <w:spacing w:val="0"/>
          <w:kern w:val="2"/>
          <w:sz w:val="32"/>
          <w:szCs w:val="32"/>
          <w:highlight w:val="none"/>
          <w:shd w:val="clear" w:color="auto" w:fill="FFFFFF"/>
          <w:lang w:val="en-US" w:eastAsia="zh-CN" w:bidi="ar-SA"/>
        </w:rPr>
        <w:t>理机制</w:t>
      </w:r>
      <w:r>
        <w:rPr>
          <w:rFonts w:hint="eastAsia" w:ascii="楷体_GB2312" w:hAnsi="楷体_GB2312" w:eastAsia="楷体_GB2312" w:cs="楷体_GB2312"/>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具有健全的组织架构和运行管理制度，包括严格的验证项目管理体系、规范的服务流程、市场化服务与考评激励机制，以及完善的科技保密、科研诚信、科技伦理等管理规范。</w:t>
      </w:r>
    </w:p>
    <w:p w14:paraId="5864EB6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第十条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申报中试基地的单位应当具备以下条件：</w:t>
      </w:r>
    </w:p>
    <w:p w14:paraId="391AA9D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val="0"/>
          <w:color w:val="0F1115"/>
          <w:spacing w:val="0"/>
          <w:kern w:val="2"/>
          <w:sz w:val="32"/>
          <w:szCs w:val="32"/>
          <w:highlight w:val="none"/>
          <w:shd w:val="clear" w:color="auto" w:fill="FFFFFF"/>
          <w:lang w:val="en-US" w:eastAsia="zh-CN" w:bidi="ar-SA"/>
        </w:rPr>
        <w:t>（一）</w:t>
      </w:r>
      <w:r>
        <w:rPr>
          <w:rStyle w:val="12"/>
          <w:rFonts w:hint="eastAsia" w:ascii="楷体_GB2312" w:hAnsi="楷体_GB2312" w:eastAsia="楷体_GB2312" w:cs="楷体_GB2312"/>
          <w:b/>
          <w:bCs w:val="0"/>
          <w:color w:val="0F1115"/>
          <w:spacing w:val="0"/>
          <w:kern w:val="2"/>
          <w:sz w:val="32"/>
          <w:szCs w:val="32"/>
          <w:highlight w:val="none"/>
          <w:shd w:val="clear" w:color="auto" w:fill="FFFFFF"/>
          <w:lang w:val="en-US" w:eastAsia="zh-CN" w:bidi="ar-SA"/>
        </w:rPr>
        <w:t>硬件条件</w:t>
      </w:r>
      <w:r>
        <w:rPr>
          <w:rFonts w:hint="eastAsia" w:ascii="楷体_GB2312" w:hAnsi="楷体_GB2312" w:eastAsia="楷体_GB2312" w:cs="楷体_GB2312"/>
          <w:b/>
          <w:bCs w:val="0"/>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拥有必要的通用计量、检测仪器及常规实验设备，有承担中试任务必需的专用设备、场地及配套设施。中试生产线设备、中试生产过程质量控制检测和产品性能检测设备原值总额</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不低于1000万元</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w:t>
      </w:r>
    </w:p>
    <w:p w14:paraId="2F8D17E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pPr>
      <w:r>
        <w:rPr>
          <w:rStyle w:val="12"/>
          <w:rFonts w:hint="eastAsia" w:ascii="楷体_GB2312" w:hAnsi="楷体_GB2312" w:eastAsia="楷体_GB2312" w:cs="楷体_GB2312"/>
          <w:b/>
          <w:bCs w:val="0"/>
          <w:color w:val="0F1115"/>
          <w:spacing w:val="0"/>
          <w:kern w:val="2"/>
          <w:sz w:val="32"/>
          <w:szCs w:val="32"/>
          <w:highlight w:val="none"/>
          <w:shd w:val="clear" w:color="auto" w:fill="FFFFFF"/>
          <w:lang w:val="en-US" w:eastAsia="zh-CN" w:bidi="ar-SA"/>
        </w:rPr>
        <w:t>（二）人才队伍</w:t>
      </w:r>
      <w:r>
        <w:rPr>
          <w:rFonts w:hint="eastAsia" w:ascii="楷体_GB2312" w:hAnsi="楷体_GB2312" w:eastAsia="楷体_GB2312" w:cs="楷体_GB2312"/>
          <w:b/>
          <w:bCs w:val="0"/>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拥有服务能力较强的专业技术人才队伍，技术团队人员不</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少于10人，其中具有硕士研究生（含）以上学历或中级（含）以上职称的科技人员</w:t>
      </w:r>
      <w:r>
        <w:rPr>
          <w:rFonts w:hint="eastAsia" w:ascii="Times New Roman" w:hAnsi="Times New Roman" w:eastAsia="仿宋_GB2312" w:cs="Times New Roman"/>
          <w:color w:val="0F1115"/>
          <w:spacing w:val="0"/>
          <w:kern w:val="2"/>
          <w:sz w:val="32"/>
          <w:szCs w:val="32"/>
          <w:highlight w:val="none"/>
          <w:shd w:val="clear" w:color="auto" w:fill="FFFFFF"/>
          <w:lang w:val="en-US" w:eastAsia="zh-CN" w:bidi="ar-SA"/>
        </w:rPr>
        <w:t>占比</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不低于技术团队人员总数的50%。技术人员熟悉相关领域中试研究工作，能组织制定和执行科学合理的中试研究方案、工艺规程和质量控制措施。</w:t>
      </w:r>
    </w:p>
    <w:p w14:paraId="184176AB">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val="0"/>
          <w:color w:val="0F1115"/>
          <w:spacing w:val="0"/>
          <w:kern w:val="2"/>
          <w:sz w:val="32"/>
          <w:szCs w:val="32"/>
          <w:highlight w:val="none"/>
          <w:shd w:val="clear" w:color="auto" w:fill="FFFFFF"/>
          <w:lang w:val="en-US" w:eastAsia="zh-CN" w:bidi="ar-SA"/>
        </w:rPr>
        <w:t>（三）管理机制：</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有完善的管理制度、规范化的服务流程、明确的服务范围、合理的收费标准和较高的服务质量。中试基地应实行财务收支独立核算。</w:t>
      </w:r>
    </w:p>
    <w:p w14:paraId="6807DB4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楷体_GB2312" w:hAnsi="楷体_GB2312" w:eastAsia="楷体_GB2312" w:cs="楷体_GB2312"/>
          <w:b/>
          <w:bCs w:val="0"/>
          <w:color w:val="0F1115"/>
          <w:spacing w:val="0"/>
          <w:kern w:val="2"/>
          <w:sz w:val="32"/>
          <w:szCs w:val="32"/>
          <w:highlight w:val="none"/>
          <w:shd w:val="clear" w:color="auto" w:fill="FFFFFF"/>
          <w:lang w:val="en-US" w:eastAsia="zh-CN" w:bidi="ar-SA"/>
        </w:rPr>
        <w:t>（四）开放服务</w:t>
      </w:r>
      <w:r>
        <w:rPr>
          <w:rFonts w:hint="eastAsia" w:ascii="楷体_GB2312" w:hAnsi="楷体_GB2312" w:eastAsia="楷体_GB2312" w:cs="楷体_GB2312"/>
          <w:b/>
          <w:bCs w:val="0"/>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具有对外开放提供中试服务的能力。</w:t>
      </w:r>
    </w:p>
    <w:p w14:paraId="4FA2B38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第十一条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申报孵化器的单位应当具备以下条件：</w:t>
      </w:r>
    </w:p>
    <w:p w14:paraId="631E9C8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（一）</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孵化场地</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具有稳定清晰的孵化场地，可自主支配（自有、租赁或协议使用）的孵化场地面积不</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低于3000平方米</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w:t>
      </w:r>
    </w:p>
    <w:p w14:paraId="70BA9FE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（二）</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运营团队</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具备职业化运营团队，团队负责人具备相关产业背景、创业投资、企业管理等能力；配备较强的专业孵化服务人员和创业导师，专职孵化服务人员占机构</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总人数80%以上</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每10家在孵企业至少配备1名创业导师</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w:t>
      </w:r>
    </w:p>
    <w:p w14:paraId="468A095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（三）</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在孵企业</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在孵企业不</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少于20家，其中上年度新增注册企业数占比不低于15%，科技型中小企业、创新型中小企业占比不低于20%。</w:t>
      </w:r>
    </w:p>
    <w:p w14:paraId="46F2697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（四）</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投融资能力</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上年度通过单独或出资合作设立的孵化资金、股权投资基金等完成股权投资且完成出资确权的在孵企业占比不</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低于8%，或上年度获得投融资的在孵企业占比不低于15%。</w:t>
      </w:r>
    </w:p>
    <w:p w14:paraId="0C4AF42B">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（五）</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企业成长性</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上年度不少</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于20%的在孵企业营业收入或研发经费投入同比增长超过10%。</w:t>
      </w:r>
    </w:p>
    <w:p w14:paraId="0AD5668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（六）</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服务收入</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单独核算孵化服务收入，上年度除房租及物业之外的收入占总收入的比</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例不低于20%。</w:t>
      </w:r>
    </w:p>
    <w:p w14:paraId="292E05D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（七）</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孵化成效</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上年度</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至少10%的在孵企业成为毕业</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企业。</w:t>
      </w:r>
    </w:p>
    <w:p w14:paraId="038B952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（八）</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统计报送</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按照国家统计局批准的创新创业类服务机构统计调查制度，已按规定完成至</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少1个</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年度的统计数据报送工作。</w:t>
      </w:r>
    </w:p>
    <w:p w14:paraId="21C1F28B">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第十二条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本办法所称的在孵企业是指注册且实际运营在孵化器内，从事新技术新产品研发、生产和服务的被孵化企业，且符合《中小企业划型标准规定》中的小型、微型企业标准。</w:t>
      </w:r>
    </w:p>
    <w:p w14:paraId="0EAA099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第十三条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本办法所称的毕业企业是指至少符合以下条件之一的在孵企业，由孵化器自主确定：</w:t>
      </w:r>
    </w:p>
    <w:p w14:paraId="701988D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（一）新认定为专精特新中小企业或高新技术企业；</w:t>
      </w:r>
    </w:p>
    <w:p w14:paraId="09D33328">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（二）获得单笔天使投资或风险投资</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超过200万元；</w:t>
      </w:r>
    </w:p>
    <w:p w14:paraId="38C17A6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（三）连续两年营业收入累</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计超过600万元；</w:t>
      </w:r>
    </w:p>
    <w:p w14:paraId="3E7740A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（四）被兼并、收购或在国内外资本市场挂牌、上市。</w:t>
      </w:r>
    </w:p>
    <w:p w14:paraId="65E4A52E">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638" w:leftChars="304"/>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第十四条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成果转化基地认定程序如下：</w:t>
      </w:r>
    </w:p>
    <w:p w14:paraId="75BC604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（一）</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发布通知</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自治区科技厅发布申报通知，明确申报要求。</w:t>
      </w:r>
    </w:p>
    <w:p w14:paraId="53326E7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jc w:val="both"/>
        <w:textAlignment w:val="auto"/>
        <w:rPr>
          <w:rFonts w:ascii="仿宋_GB2312" w:hAnsi="仿宋_GB2312" w:eastAsia="MS Mincho" w:cs="仿宋_GB2312"/>
          <w:color w:val="0F1115"/>
          <w:spacing w:val="0"/>
          <w:kern w:val="2"/>
          <w:sz w:val="32"/>
          <w:szCs w:val="32"/>
          <w:highlight w:val="none"/>
          <w:shd w:val="clear" w:color="auto" w:fill="FFFFFF"/>
          <w:lang w:val="en-US" w:eastAsia="ja-JP"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（二）</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自主申报</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依托单位向所在主管部门提交申报材料，并对材料的真实性、完整性负责。</w:t>
      </w:r>
    </w:p>
    <w:p w14:paraId="5409D6F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jc w:val="both"/>
        <w:textAlignment w:val="auto"/>
        <w:rPr>
          <w:rFonts w:ascii="仿宋_GB2312" w:hAnsi="仿宋_GB2312" w:eastAsia="MS Mincho" w:cs="仿宋_GB2312"/>
          <w:color w:val="0F1115"/>
          <w:spacing w:val="0"/>
          <w:kern w:val="2"/>
          <w:sz w:val="32"/>
          <w:szCs w:val="32"/>
          <w:highlight w:val="none"/>
          <w:shd w:val="clear" w:color="auto" w:fill="FFFFFF"/>
          <w:lang w:val="en-US" w:eastAsia="ja-JP"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（三）</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审核推荐</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主管部门对申报材料进行审核把关、实地抽查，初审通过后择优推荐至自治区科技厅。</w:t>
      </w:r>
    </w:p>
    <w:p w14:paraId="77B48DB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jc w:val="both"/>
        <w:textAlignment w:val="auto"/>
        <w:rPr>
          <w:rFonts w:ascii="仿宋_GB2312" w:hAnsi="仿宋_GB2312" w:eastAsia="MS Mincho" w:cs="仿宋_GB2312"/>
          <w:color w:val="0F1115"/>
          <w:spacing w:val="0"/>
          <w:kern w:val="2"/>
          <w:sz w:val="32"/>
          <w:szCs w:val="32"/>
          <w:highlight w:val="none"/>
          <w:shd w:val="clear" w:color="auto" w:fill="FFFFFF"/>
          <w:lang w:val="en-US" w:eastAsia="ja-JP"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（四）</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评审考察</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自治区科技厅组织或委托第三方机构进行形式审查、专家评审和现场核查，并形成评审意见。</w:t>
      </w:r>
    </w:p>
    <w:p w14:paraId="3978BC4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jc w:val="both"/>
        <w:textAlignment w:val="auto"/>
        <w:rPr>
          <w:rFonts w:ascii="仿宋_GB2312" w:hAnsi="仿宋_GB2312" w:eastAsia="MS Mincho" w:cs="仿宋_GB2312"/>
          <w:color w:val="0F1115"/>
          <w:spacing w:val="0"/>
          <w:kern w:val="2"/>
          <w:sz w:val="32"/>
          <w:szCs w:val="32"/>
          <w:highlight w:val="none"/>
          <w:shd w:val="clear" w:color="auto" w:fill="FFFFFF"/>
          <w:lang w:val="en-US" w:eastAsia="ja-JP"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（五）</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认定公示</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自治区科技厅根据评审意见，择优确定拟认定名单，在自治区科技厅门户网站公</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示7</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个自然日。</w:t>
      </w:r>
    </w:p>
    <w:p w14:paraId="6D872D5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jc w:val="both"/>
        <w:textAlignment w:val="auto"/>
        <w:rPr>
          <w:rFonts w:ascii="仿宋_GB2312" w:hAnsi="仿宋_GB2312" w:eastAsia="MS Mincho" w:cs="仿宋_GB2312"/>
          <w:color w:val="0F1115"/>
          <w:spacing w:val="0"/>
          <w:kern w:val="2"/>
          <w:sz w:val="32"/>
          <w:szCs w:val="32"/>
          <w:highlight w:val="none"/>
          <w:shd w:val="clear" w:color="auto" w:fill="FFFFFF"/>
          <w:lang w:val="en-US" w:eastAsia="ja-JP" w:bidi="ar-SA"/>
        </w:rPr>
      </w:pP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（六）</w:t>
      </w:r>
      <w:r>
        <w:rPr>
          <w:rStyle w:val="12"/>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发文认定</w:t>
      </w:r>
      <w:r>
        <w:rPr>
          <w:rFonts w:hint="eastAsia" w:ascii="楷体_GB2312" w:hAnsi="楷体_GB2312" w:eastAsia="楷体_GB2312" w:cs="楷体_GB2312"/>
          <w:b/>
          <w:bCs/>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对公示无异议的，由自治区科技厅发文认定。</w:t>
      </w:r>
    </w:p>
    <w:p w14:paraId="28ABB12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MS Mincho"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 xml:space="preserve">第十五条 </w:t>
      </w:r>
      <w:r>
        <w:rPr>
          <w:rStyle w:val="12"/>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获认定的科技成果转化基地，由自治区科技厅统一命名，概念验证中心命名为“广西+领域+概念验证中心”，中试基地命名为“广西+领域+科技成果转化中试研究基地”；孵化器统一命名为“广西科技型企业孵化器”。</w:t>
      </w:r>
    </w:p>
    <w:p w14:paraId="47C51192">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仿宋_GB2312" w:hAnsi="仿宋_GB2312" w:eastAsia="仿宋_GB2312" w:cs="仿宋_GB2312"/>
          <w:b/>
          <w:color w:val="0F1115"/>
          <w:spacing w:val="0"/>
          <w:kern w:val="2"/>
          <w:sz w:val="32"/>
          <w:szCs w:val="32"/>
          <w:highlight w:val="none"/>
          <w:shd w:val="clear" w:color="auto" w:fill="FFFFFF"/>
        </w:rPr>
      </w:pPr>
    </w:p>
    <w:p w14:paraId="62C45610">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jc w:val="center"/>
        <w:textAlignment w:val="auto"/>
        <w:outlineLvl w:val="3"/>
        <w:rPr>
          <w:rStyle w:val="12"/>
          <w:rFonts w:hint="default" w:ascii="黑体" w:hAnsi="黑体" w:eastAsia="黑体" w:cs="黑体"/>
          <w:b w:val="0"/>
          <w:bCs/>
          <w:color w:val="0F1115"/>
          <w:spacing w:val="0"/>
          <w:kern w:val="0"/>
          <w:sz w:val="32"/>
          <w:szCs w:val="32"/>
          <w:highlight w:val="none"/>
          <w:shd w:val="clear" w:color="auto" w:fill="FFFFFF"/>
          <w:lang w:val="en-US" w:eastAsia="zh-CN" w:bidi="ar-SA"/>
        </w:rPr>
      </w:pPr>
      <w:r>
        <w:rPr>
          <w:rFonts w:hint="eastAsia" w:ascii="黑体" w:hAnsi="黑体" w:eastAsia="黑体" w:cs="Times New Roman"/>
          <w:b w:val="0"/>
          <w:bCs/>
          <w:spacing w:val="0"/>
          <w:kern w:val="0"/>
          <w:sz w:val="32"/>
          <w:szCs w:val="32"/>
          <w:highlight w:val="none"/>
          <w:lang w:val="en-US" w:eastAsia="zh-CN" w:bidi="ar-SA"/>
        </w:rPr>
        <w:t xml:space="preserve">第四章 </w:t>
      </w:r>
      <w:r>
        <w:rPr>
          <w:rFonts w:hint="eastAsia" w:ascii="黑体" w:hAnsi="黑体" w:eastAsia="黑体" w:cs="Times New Roman"/>
          <w:b/>
          <w:spacing w:val="0"/>
          <w:kern w:val="0"/>
          <w:sz w:val="32"/>
          <w:szCs w:val="32"/>
          <w:highlight w:val="none"/>
          <w:lang w:val="en-US" w:eastAsia="zh-CN" w:bidi="ar-SA"/>
        </w:rPr>
        <w:t xml:space="preserve"> </w:t>
      </w: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管理与监督</w:t>
      </w:r>
    </w:p>
    <w:p w14:paraId="7C2BA6A3">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jc w:val="center"/>
        <w:textAlignment w:val="auto"/>
        <w:rPr>
          <w:rStyle w:val="11"/>
          <w:rFonts w:hint="eastAsia" w:ascii="黑体" w:hAnsi="黑体" w:eastAsia="黑体" w:cs="黑体"/>
          <w:b w:val="0"/>
          <w:bCs/>
          <w:color w:val="0F1115"/>
          <w:spacing w:val="0"/>
          <w:sz w:val="32"/>
          <w:szCs w:val="32"/>
          <w:highlight w:val="none"/>
          <w:shd w:val="clear" w:color="auto" w:fill="FFFFFF"/>
        </w:rPr>
      </w:pPr>
    </w:p>
    <w:p w14:paraId="53DCA99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第十六条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成果转化基地实行动态管理，建立年度报告与绩效评估相结合的管理制度。</w:t>
      </w:r>
    </w:p>
    <w:p w14:paraId="709C2C1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成果转化基地由固定人员与流动人员组成，每个固定人员原则上只能在一个自治区级成果转化与产业化类科技创新平台任职，人员信息须通过年度报告上报，并接受查重。</w:t>
      </w:r>
    </w:p>
    <w:p w14:paraId="1E2C053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第十七条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实行年度报告制度。各成果转化基地应于每年</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12月底</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前，按要求向主管部门报送年度工作报告。主管部门审核，提出初审意见后汇总报送自治区科技厅。</w:t>
      </w:r>
    </w:p>
    <w:p w14:paraId="0ECE53E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第十八条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实行定期绩效评估制度。自治区科技厅</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每3年集</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中组织一次绩效评估。开放运行</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满3年</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的成果转化基地应参加，未</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满3</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年的可自愿参加。绩效评估重点考核评估周期内产生的服务成效、经济效益和社会贡献。</w:t>
      </w:r>
    </w:p>
    <w:p w14:paraId="7244207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bookmarkStart w:id="2" w:name="OLE_LINK3"/>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第十九条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绩效评估结果分为优秀、良好、合格、基本合格和</w:t>
      </w:r>
      <w:bookmarkStart w:id="3" w:name="OLE_LINK5"/>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不合格</w:t>
      </w:r>
      <w:bookmarkEnd w:id="3"/>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，评估结果向社会公布，并作为后续支持政策的重要依据。</w:t>
      </w:r>
    </w:p>
    <w:bookmarkEnd w:id="2"/>
    <w:p w14:paraId="0DDC768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z w:val="32"/>
          <w:szCs w:val="32"/>
          <w:highlight w:val="none"/>
          <w:shd w:val="clear" w:color="auto" w:fill="FFFFFF"/>
          <w:lang w:val="en-US" w:eastAsia="zh-CN"/>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绩效评估结果为“合格”的，保留成果转化基地资格。绩效评估结果为“基本合格”的，整改期为</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1年</w:t>
      </w:r>
      <w:r>
        <w:rPr>
          <w:rFonts w:hint="eastAsia" w:ascii="Times New Roman" w:hAnsi="Times New Roman" w:eastAsia="仿宋_GB2312" w:cs="Times New Roman"/>
          <w:color w:val="0F1115"/>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整改期满后由自治区科技厅组织复评，复评合格的，保留成果转化基地资格；复评不合格的，</w:t>
      </w:r>
      <w:r>
        <w:rPr>
          <w:rFonts w:hint="eastAsia" w:ascii="仿宋_GB2312" w:hAnsi="仿宋_GB2312" w:eastAsia="仿宋_GB2312" w:cs="仿宋_GB2312"/>
          <w:color w:val="0F1115"/>
          <w:sz w:val="32"/>
          <w:szCs w:val="32"/>
          <w:highlight w:val="none"/>
          <w:shd w:val="clear" w:color="auto" w:fill="FFFFFF"/>
          <w:lang w:val="en-US" w:eastAsia="zh-CN"/>
        </w:rPr>
        <w:t>取消</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成果转化基地资格。绩效评估结果为“不合格”的</w:t>
      </w:r>
      <w:r>
        <w:rPr>
          <w:rFonts w:hint="eastAsia" w:ascii="仿宋_GB2312" w:hAnsi="仿宋_GB2312" w:eastAsia="仿宋_GB2312" w:cs="仿宋_GB2312"/>
          <w:color w:val="0F1115"/>
          <w:sz w:val="32"/>
          <w:szCs w:val="32"/>
          <w:highlight w:val="none"/>
          <w:shd w:val="clear" w:color="auto" w:fill="FFFFFF"/>
          <w:lang w:val="en-US" w:eastAsia="zh-CN"/>
        </w:rPr>
        <w:t>，取消</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成果转化基地资格</w:t>
      </w:r>
      <w:r>
        <w:rPr>
          <w:rFonts w:hint="eastAsia" w:ascii="仿宋_GB2312" w:hAnsi="仿宋_GB2312" w:eastAsia="仿宋_GB2312" w:cs="仿宋_GB2312"/>
          <w:color w:val="0F1115"/>
          <w:sz w:val="32"/>
          <w:szCs w:val="32"/>
          <w:highlight w:val="none"/>
          <w:shd w:val="clear" w:color="auto" w:fill="FFFFFF"/>
          <w:lang w:val="en-US" w:eastAsia="zh-CN"/>
        </w:rPr>
        <w:t>。</w:t>
      </w:r>
    </w:p>
    <w:p w14:paraId="60F43A9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第二十条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成果转化基地有下列情形之一的，取消其成果转化基地资格，被取消资格的运营</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主体3年</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内不得再次申报；因存在科学技术活动违规行为被撤销的，情节严重的录入科研诚信严重失信行为数据库。</w:t>
      </w:r>
    </w:p>
    <w:p w14:paraId="38C05C8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（一）在申请认定和接受管理过程中存在弄虚作假、严重失信、偷税漏税等违法违规行为的；</w:t>
      </w:r>
    </w:p>
    <w:p w14:paraId="791F10F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（二）发生重大环保、质量和安全事故，造成严重后果的；</w:t>
      </w:r>
    </w:p>
    <w:p w14:paraId="430343F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（三）运营出现问题，无法正常开展业务，经限期</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1</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年整改仍不合格的；</w:t>
      </w:r>
    </w:p>
    <w:p w14:paraId="225BEAA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yellow"/>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（四）无故不参加绩效评估，或绩效评估等级为不合格的；</w:t>
      </w:r>
    </w:p>
    <w:p w14:paraId="0D94718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（五）运营主体注销或发生重大变化，已不再符合认定条件的；</w:t>
      </w:r>
    </w:p>
    <w:p w14:paraId="6B57E48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（六）自行申请撤销的。</w:t>
      </w:r>
    </w:p>
    <w:p w14:paraId="7D5CBEE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第二十一条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实行重大事项报告制度。成果转化基地的运营主体、运行场地、依托单位、研究方向等发生重大变更，或无法正常运营的，应</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在3个月</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内经主管部门核实后报自治区科技厅。自治区科技厅审核后予以相应处理。</w:t>
      </w:r>
    </w:p>
    <w:p w14:paraId="15C4AC9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第二十二条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建立常态化监督和投诉机制。任何组织或个人发现成果转化基地存在信息不实、违规操作等问题，可实名并提供佐证材料向自治区科技厅或市科技局反映。</w:t>
      </w:r>
      <w:bookmarkStart w:id="4" w:name="OLE_LINK4"/>
    </w:p>
    <w:p w14:paraId="27340D9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p>
    <w:bookmarkEnd w:id="4"/>
    <w:p w14:paraId="386495B1">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jc w:val="center"/>
        <w:textAlignment w:val="auto"/>
        <w:rPr>
          <w:rStyle w:val="11"/>
          <w:rFonts w:hint="eastAsia" w:ascii="黑体" w:hAnsi="黑体" w:eastAsia="黑体" w:cs="黑体"/>
          <w:b w:val="0"/>
          <w:bCs/>
          <w:color w:val="0F1115"/>
          <w:spacing w:val="0"/>
          <w:sz w:val="32"/>
          <w:szCs w:val="32"/>
          <w:highlight w:val="none"/>
          <w:shd w:val="clear" w:color="auto" w:fill="FFFFFF"/>
        </w:rPr>
      </w:pPr>
      <w:r>
        <w:rPr>
          <w:rStyle w:val="12"/>
          <w:rFonts w:ascii="黑体" w:hAnsi="黑体" w:eastAsia="黑体" w:cs="黑体"/>
          <w:b w:val="0"/>
          <w:bCs/>
          <w:color w:val="0F1115"/>
          <w:spacing w:val="0"/>
          <w:sz w:val="32"/>
          <w:szCs w:val="32"/>
          <w:highlight w:val="none"/>
          <w:shd w:val="clear" w:color="auto" w:fill="FFFFFF"/>
        </w:rPr>
        <w:t xml:space="preserve">第五章 </w:t>
      </w:r>
      <w:r>
        <w:rPr>
          <w:rStyle w:val="12"/>
          <w:rFonts w:hint="eastAsia" w:ascii="黑体" w:hAnsi="黑体" w:eastAsia="黑体" w:cs="黑体"/>
          <w:b w:val="0"/>
          <w:bCs/>
          <w:color w:val="0F1115"/>
          <w:spacing w:val="0"/>
          <w:sz w:val="32"/>
          <w:szCs w:val="32"/>
          <w:highlight w:val="none"/>
          <w:shd w:val="clear" w:color="auto" w:fill="FFFFFF"/>
          <w:lang w:val="en-US" w:eastAsia="zh-CN"/>
        </w:rPr>
        <w:t xml:space="preserve"> </w:t>
      </w:r>
      <w:r>
        <w:rPr>
          <w:rStyle w:val="12"/>
          <w:rFonts w:ascii="黑体" w:hAnsi="黑体" w:eastAsia="黑体" w:cs="黑体"/>
          <w:b w:val="0"/>
          <w:bCs/>
          <w:color w:val="0F1115"/>
          <w:spacing w:val="0"/>
          <w:sz w:val="32"/>
          <w:szCs w:val="32"/>
          <w:highlight w:val="none"/>
          <w:shd w:val="clear" w:color="auto" w:fill="FFFFFF"/>
        </w:rPr>
        <w:t>支持政策</w:t>
      </w:r>
    </w:p>
    <w:p w14:paraId="7164612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p>
    <w:p w14:paraId="5B83E5C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第二十三条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对新认定的成果转化基地，给予一次性奖励性后补助。</w:t>
      </w:r>
    </w:p>
    <w:p w14:paraId="04EB69E7">
      <w:pPr>
        <w:pStyle w:val="1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lang w:val="en-US" w:eastAsia="zh-CN"/>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第二十四条</w:t>
      </w:r>
      <w:r>
        <w:rPr>
          <w:rFonts w:hint="eastAsia" w:ascii="黑体" w:hAnsi="黑体" w:eastAsia="黑体" w:cs="黑体"/>
          <w:b w:val="0"/>
          <w:bCs w:val="0"/>
          <w:color w:val="0F1115"/>
          <w:spacing w:val="0"/>
          <w:kern w:val="2"/>
          <w:sz w:val="32"/>
          <w:szCs w:val="32"/>
          <w:highlight w:val="none"/>
          <w:shd w:val="clear" w:color="auto" w:fill="FFFFFF"/>
          <w:lang w:val="en-US" w:eastAsia="zh-CN" w:bidi="ar-SA"/>
        </w:rPr>
        <w:t xml:space="preserve"> </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对绩效</w:t>
      </w:r>
      <w:r>
        <w:rPr>
          <w:rFonts w:hint="eastAsia" w:ascii="仿宋_GB2312" w:hAnsi="仿宋_GB2312" w:eastAsia="仿宋_GB2312" w:cs="仿宋_GB2312"/>
          <w:color w:val="0F1115"/>
          <w:sz w:val="32"/>
          <w:szCs w:val="32"/>
          <w:highlight w:val="none"/>
          <w:shd w:val="clear" w:color="auto" w:fill="FFFFFF"/>
          <w:lang w:val="en-US" w:eastAsia="zh-CN"/>
        </w:rPr>
        <w:t>评估结果为“优秀”、“良好”的成果转化基地，给予奖励性后补助。</w:t>
      </w:r>
    </w:p>
    <w:p w14:paraId="101CE96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第二十五条</w:t>
      </w:r>
      <w:r>
        <w:rPr>
          <w:rFonts w:hint="eastAsia" w:ascii="黑体" w:hAnsi="黑体" w:eastAsia="黑体" w:cs="黑体"/>
          <w:b w:val="0"/>
          <w:bCs w:val="0"/>
          <w:color w:val="0F1115"/>
          <w:spacing w:val="0"/>
          <w:kern w:val="2"/>
          <w:sz w:val="32"/>
          <w:szCs w:val="32"/>
          <w:highlight w:val="none"/>
          <w:shd w:val="clear" w:color="auto" w:fill="FFFFFF"/>
          <w:lang w:val="en-US" w:eastAsia="zh-CN" w:bidi="ar-SA"/>
        </w:rPr>
        <w:t xml:space="preserve">  </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鼓励各设区市科技局、各高新区管委会和相关部门结合实际，在资金、土地、项目、人才等方面加大对成果转化基地的支持力度。用足用好支持成果转化基地发展壮大的税收优惠政策。</w:t>
      </w:r>
    </w:p>
    <w:p w14:paraId="0B434B6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黑体" w:hAnsi="黑体" w:eastAsia="黑体" w:cs="黑体"/>
          <w:b w:val="0"/>
          <w:bCs w:val="0"/>
          <w:color w:val="0F1115"/>
          <w:spacing w:val="0"/>
          <w:kern w:val="2"/>
          <w:sz w:val="32"/>
          <w:szCs w:val="32"/>
          <w:highlight w:val="none"/>
          <w:shd w:val="clear" w:color="auto" w:fill="FFFFFF"/>
          <w:lang w:val="en-US" w:eastAsia="zh-CN" w:bidi="ar-SA"/>
        </w:rPr>
        <w:t>第二十六条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支持成果转化基地深化教育科技人才体制机制一体化改革。鼓励成果转化基地联合高等学校、职业院校开展专业技术培训，共建研究生联合培养基地，培养高层次应用型人才。</w:t>
      </w:r>
    </w:p>
    <w:p w14:paraId="31ED877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支持成果转化基地面向高等学校、科研院所开放短期全职研究和交流岗位，吸引科研人员开展合作研究。建立健全科研人员双向流动机制，支持高等学校、科研院所科研人员在成果转化基地兼职创新、在职创办企业，并在职称评审、项目申报、岗位竞聘、考核奖励等方面享有同等权利，畅通人才在依托单位、共建单位之间的有序流动。</w:t>
      </w:r>
    </w:p>
    <w:p w14:paraId="7A7ADCC2">
      <w:pPr>
        <w:keepNext w:val="0"/>
        <w:keepLines w:val="0"/>
        <w:pageBreakBefore w:val="0"/>
        <w:widowControl w:val="0"/>
        <w:shd w:val="clear" w:color="auto" w:fill="auto"/>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p>
    <w:p w14:paraId="606CDE0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outlineLvl w:val="3"/>
        <w:rPr>
          <w:rStyle w:val="12"/>
          <w:rFonts w:hint="eastAsia" w:ascii="黑体" w:hAnsi="黑体" w:eastAsia="黑体" w:cs="黑体"/>
          <w:b w:val="0"/>
          <w:bCs/>
          <w:color w:val="0F1115"/>
          <w:spacing w:val="0"/>
          <w:kern w:val="0"/>
          <w:sz w:val="32"/>
          <w:szCs w:val="32"/>
          <w:highlight w:val="none"/>
          <w:shd w:val="clear" w:color="auto" w:fill="FFFFFF"/>
          <w:lang w:val="en-US" w:eastAsia="zh-CN" w:bidi="ar-SA"/>
        </w:rPr>
      </w:pPr>
      <w:r>
        <w:rPr>
          <w:rFonts w:hint="eastAsia" w:ascii="黑体" w:hAnsi="黑体" w:eastAsia="黑体" w:cs="黑体"/>
          <w:b w:val="0"/>
          <w:bCs/>
          <w:color w:val="0F1115"/>
          <w:spacing w:val="0"/>
          <w:kern w:val="0"/>
          <w:sz w:val="32"/>
          <w:szCs w:val="32"/>
          <w:highlight w:val="none"/>
          <w:shd w:val="clear" w:color="auto" w:fill="FFFFFF"/>
          <w:lang w:val="en-US" w:eastAsia="zh-CN" w:bidi="ar-SA"/>
        </w:rPr>
        <w:t xml:space="preserve">第六章  </w:t>
      </w:r>
      <w:r>
        <w:rPr>
          <w:rStyle w:val="12"/>
          <w:rFonts w:hint="eastAsia" w:ascii="黑体" w:hAnsi="黑体" w:eastAsia="黑体" w:cs="黑体"/>
          <w:b w:val="0"/>
          <w:bCs/>
          <w:color w:val="0F1115"/>
          <w:spacing w:val="0"/>
          <w:kern w:val="2"/>
          <w:sz w:val="32"/>
          <w:szCs w:val="32"/>
          <w:highlight w:val="none"/>
          <w:shd w:val="clear" w:color="auto" w:fill="FFFFFF"/>
          <w:lang w:val="en-US" w:eastAsia="zh-CN" w:bidi="ar-SA"/>
        </w:rPr>
        <w:t>附则</w:t>
      </w:r>
    </w:p>
    <w:p w14:paraId="48B79850">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rFonts w:eastAsia="宋体"/>
          <w:spacing w:val="0"/>
          <w:highlight w:val="none"/>
        </w:rPr>
      </w:pPr>
    </w:p>
    <w:p w14:paraId="0A9C662B">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pPr>
      <w:r>
        <w:rPr>
          <w:rFonts w:hint="eastAsia" w:ascii="黑体" w:hAnsi="黑体" w:eastAsia="黑体" w:cs="黑体"/>
          <w:b w:val="0"/>
          <w:bCs w:val="0"/>
          <w:color w:val="0F1115"/>
          <w:spacing w:val="0"/>
          <w:kern w:val="2"/>
          <w:sz w:val="32"/>
          <w:szCs w:val="32"/>
          <w:highlight w:val="none"/>
          <w:shd w:val="clear" w:color="auto" w:fill="FFFFFF"/>
          <w:lang w:val="en-US" w:eastAsia="zh-CN" w:bidi="ar-SA"/>
        </w:rPr>
        <w:t>第二十七条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原自治区级科技企业孵化器、众创空间，应当按照本办法规定的条件和程序重新申请认定。自2027年12月31日起，未获自治区科技型企业孵化器认定的，原资格自动失效。</w:t>
      </w:r>
    </w:p>
    <w:p w14:paraId="6410E7A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pPr>
      <w:r>
        <w:rPr>
          <w:rStyle w:val="12"/>
          <w:rFonts w:hint="eastAsia" w:ascii="黑体" w:hAnsi="黑体" w:eastAsia="黑体" w:cs="黑体"/>
          <w:b w:val="0"/>
          <w:bCs w:val="0"/>
          <w:color w:val="0F1115"/>
          <w:spacing w:val="0"/>
          <w:kern w:val="2"/>
          <w:sz w:val="32"/>
          <w:szCs w:val="32"/>
          <w:highlight w:val="none"/>
          <w:shd w:val="clear" w:color="auto" w:fill="FFFFFF"/>
          <w:lang w:val="en-US" w:eastAsia="zh-CN" w:bidi="ar-SA"/>
        </w:rPr>
        <w:t>第二十八条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本办法由自治区科技厅负责解释。</w:t>
      </w:r>
    </w:p>
    <w:p w14:paraId="5F82AE77">
      <w:pPr>
        <w:keepNext w:val="0"/>
        <w:keepLines w:val="0"/>
        <w:pageBreakBefore w:val="0"/>
        <w:widowControl w:val="0"/>
        <w:shd w:val="clear" w:color="auto" w:fill="auto"/>
        <w:kinsoku/>
        <w:wordWrap/>
        <w:overflowPunct/>
        <w:topLinePunct w:val="0"/>
        <w:autoSpaceDE/>
        <w:autoSpaceDN/>
        <w:bidi w:val="0"/>
        <w:snapToGrid/>
        <w:spacing w:line="580" w:lineRule="exact"/>
        <w:ind w:firstLine="640" w:firstLineChars="200"/>
        <w:textAlignment w:val="auto"/>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pPr>
      <w:r>
        <w:rPr>
          <w:rFonts w:hint="eastAsia" w:ascii="黑体" w:hAnsi="黑体" w:eastAsia="黑体" w:cs="黑体"/>
          <w:b w:val="0"/>
          <w:bCs w:val="0"/>
          <w:color w:val="0F1115"/>
          <w:spacing w:val="0"/>
          <w:kern w:val="2"/>
          <w:sz w:val="32"/>
          <w:szCs w:val="32"/>
          <w:highlight w:val="none"/>
          <w:shd w:val="clear" w:color="auto" w:fill="FFFFFF"/>
          <w:lang w:val="en-US" w:eastAsia="zh-CN" w:bidi="ar-SA"/>
        </w:rPr>
        <w:t>第二十九条</w:t>
      </w:r>
      <w:r>
        <w:rPr>
          <w:rFonts w:hint="eastAsia" w:ascii="仿宋_GB2312" w:hAnsi="仿宋_GB2312" w:eastAsia="仿宋_GB2312" w:cs="仿宋_GB2312"/>
          <w:color w:val="0F1115"/>
          <w:spacing w:val="0"/>
          <w:kern w:val="2"/>
          <w:sz w:val="32"/>
          <w:szCs w:val="32"/>
          <w:highlight w:val="none"/>
          <w:shd w:val="clear" w:color="auto" w:fill="FFFFFF"/>
          <w:lang w:val="en-US" w:eastAsia="zh-CN" w:bidi="ar-SA"/>
        </w:rPr>
        <w:t xml:space="preserve">  </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本办法自2026年</w:t>
      </w:r>
      <w:r>
        <w:rPr>
          <w:rFonts w:hint="eastAsia" w:ascii="Times New Roman" w:hAnsi="Times New Roman" w:eastAsia="仿宋_GB2312" w:cs="Times New Roman"/>
          <w:color w:val="0F1115"/>
          <w:spacing w:val="0"/>
          <w:kern w:val="2"/>
          <w:sz w:val="32"/>
          <w:szCs w:val="32"/>
          <w:highlight w:val="none"/>
          <w:shd w:val="clear" w:color="auto" w:fill="FFFFFF"/>
          <w:lang w:val="en-US" w:eastAsia="zh-CN" w:bidi="ar-SA"/>
        </w:rPr>
        <w:t>6</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月</w:t>
      </w:r>
      <w:r>
        <w:rPr>
          <w:rFonts w:hint="eastAsia" w:ascii="Times New Roman" w:hAnsi="Times New Roman" w:eastAsia="仿宋_GB2312" w:cs="Times New Roman"/>
          <w:color w:val="0F1115"/>
          <w:spacing w:val="0"/>
          <w:kern w:val="2"/>
          <w:sz w:val="32"/>
          <w:szCs w:val="32"/>
          <w:highlight w:val="none"/>
          <w:shd w:val="clear" w:color="auto" w:fill="FFFFFF"/>
          <w:lang w:val="en-US" w:eastAsia="zh-CN" w:bidi="ar-SA"/>
        </w:rPr>
        <w:t>24</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日起施行。《广西科技成果转化中试研究基地暂行管理办法》（桂科成字〔2021〕114号）、《广西壮族自治区科技企业孵化器管理办法》（桂科成字〔2021〕30号）、《广西壮族自治区</w:t>
      </w:r>
      <w:bookmarkStart w:id="5" w:name="OLE_LINK2"/>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众创空间备案</w:t>
      </w:r>
      <w:bookmarkEnd w:id="5"/>
      <w:r>
        <w:rPr>
          <w:rFonts w:hint="eastAsia" w:ascii="Times New Roman" w:hAnsi="Times New Roman" w:eastAsia="仿宋_GB2312" w:cs="Times New Roman"/>
          <w:color w:val="0F1115"/>
          <w:spacing w:val="0"/>
          <w:kern w:val="2"/>
          <w:sz w:val="32"/>
          <w:szCs w:val="32"/>
          <w:highlight w:val="none"/>
          <w:shd w:val="clear" w:color="auto" w:fill="FFFFFF"/>
          <w:lang w:val="en-US" w:eastAsia="zh-CN" w:bidi="ar-SA"/>
        </w:rPr>
        <w:t>认定</w:t>
      </w:r>
      <w:r>
        <w:rPr>
          <w:rFonts w:hint="default" w:ascii="Times New Roman" w:hAnsi="Times New Roman" w:eastAsia="仿宋_GB2312" w:cs="Times New Roman"/>
          <w:color w:val="0F1115"/>
          <w:spacing w:val="0"/>
          <w:kern w:val="2"/>
          <w:sz w:val="32"/>
          <w:szCs w:val="32"/>
          <w:highlight w:val="none"/>
          <w:shd w:val="clear" w:color="auto" w:fill="FFFFFF"/>
          <w:lang w:val="en-US" w:eastAsia="zh-CN" w:bidi="ar-SA"/>
        </w:rPr>
        <w:t>办法》（桂科高字〔2016〕186号）、《广西概念验证中心建设工作指引（试行）》（桂科规字〔2025〕2号）同时废止。</w:t>
      </w:r>
    </w:p>
    <w:p w14:paraId="6316BDD0">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B430851">
      <w:pPr>
        <w:keepNext w:val="0"/>
        <w:keepLines w:val="0"/>
        <w:pageBreakBefore w:val="0"/>
        <w:widowControl w:val="0"/>
        <w:kinsoku/>
        <w:wordWrap/>
        <w:overflowPunct/>
        <w:topLinePunct w:val="0"/>
        <w:autoSpaceDE/>
        <w:autoSpaceDN/>
        <w:bidi w:val="0"/>
        <w:adjustRightInd/>
        <w:snapToGrid/>
        <w:spacing w:line="560" w:lineRule="exact"/>
        <w:textAlignment w:val="auto"/>
      </w:pPr>
    </w:p>
    <w:p w14:paraId="0DD8BB2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14:paraId="0CBAE5D0">
      <w:pPr>
        <w:keepNext w:val="0"/>
        <w:keepLines w:val="0"/>
        <w:pageBreakBefore w:val="0"/>
        <w:widowControl w:val="0"/>
        <w:kinsoku/>
        <w:wordWrap/>
        <w:overflowPunct/>
        <w:topLinePunct w:val="0"/>
        <w:autoSpaceDE/>
        <w:autoSpaceDN/>
        <w:bidi w:val="0"/>
        <w:adjustRightInd/>
        <w:snapToGrid/>
        <w:spacing w:line="560" w:lineRule="exact"/>
        <w:textAlignment w:val="auto"/>
      </w:pPr>
    </w:p>
    <w:p w14:paraId="281BBFA1">
      <w:pPr>
        <w:keepNext w:val="0"/>
        <w:keepLines w:val="0"/>
        <w:pageBreakBefore w:val="0"/>
        <w:widowControl w:val="0"/>
        <w:kinsoku/>
        <w:wordWrap/>
        <w:overflowPunct/>
        <w:topLinePunct w:val="0"/>
        <w:autoSpaceDE/>
        <w:autoSpaceDN/>
        <w:bidi w:val="0"/>
        <w:adjustRightInd/>
        <w:snapToGrid/>
        <w:spacing w:line="560" w:lineRule="exact"/>
        <w:textAlignment w:val="auto"/>
      </w:pPr>
    </w:p>
    <w:p w14:paraId="6C8643D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14:paraId="7CD3EBA3">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1A4BB2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14:paraId="326DAC8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14:paraId="45D6F07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14:paraId="0D99BF1B">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8303D9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14:paraId="110CB532">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1EEF7A5">
      <w:pPr>
        <w:keepNext w:val="0"/>
        <w:keepLines w:val="0"/>
        <w:pageBreakBefore w:val="0"/>
        <w:widowControl w:val="0"/>
        <w:kinsoku/>
        <w:wordWrap/>
        <w:overflowPunct/>
        <w:topLinePunct w:val="0"/>
        <w:autoSpaceDE/>
        <w:autoSpaceDN/>
        <w:bidi w:val="0"/>
        <w:adjustRightInd/>
        <w:snapToGrid/>
        <w:spacing w:line="400" w:lineRule="exact"/>
        <w:textAlignment w:val="auto"/>
      </w:pPr>
    </w:p>
    <w:p w14:paraId="25711CA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14:paraId="6769F8FD">
      <w:pPr>
        <w:keepNext w:val="0"/>
        <w:keepLines w:val="0"/>
        <w:pageBreakBefore w:val="0"/>
        <w:widowControl w:val="0"/>
        <w:kinsoku/>
        <w:wordWrap/>
        <w:overflowPunct/>
        <w:topLinePunct w:val="0"/>
        <w:autoSpaceDE/>
        <w:autoSpaceDN/>
        <w:bidi w:val="0"/>
        <w:adjustRightInd/>
        <w:snapToGrid/>
        <w:spacing w:line="560" w:lineRule="exact"/>
        <w:textAlignment w:val="auto"/>
      </w:pPr>
    </w:p>
    <w:tbl>
      <w:tblPr>
        <w:tblStyle w:val="10"/>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721E1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noWrap w:val="0"/>
            <w:vAlign w:val="center"/>
          </w:tcPr>
          <w:p w14:paraId="7A2FB467">
            <w:pPr>
              <w:spacing w:line="360" w:lineRule="exact"/>
              <w:ind w:left="210" w:leftChars="100" w:right="210" w:rightChars="100"/>
              <w:jc w:val="left"/>
              <w:rPr>
                <w:rFonts w:hint="eastAsia" w:eastAsia="仿宋_GB2312"/>
                <w:sz w:val="28"/>
                <w:szCs w:val="28"/>
                <w:lang w:eastAsia="zh-CN"/>
              </w:rPr>
            </w:pPr>
            <w:r>
              <w:rPr>
                <w:rFonts w:hint="eastAsia" w:eastAsia="仿宋_GB2312"/>
                <w:spacing w:val="-6"/>
                <w:sz w:val="28"/>
                <w:szCs w:val="28"/>
              </w:rPr>
              <w:t>中共广西壮族自治区委员会科技委员会办公室</w:t>
            </w:r>
            <w:r>
              <w:rPr>
                <w:rFonts w:hint="eastAsia" w:eastAsia="仿宋_GB2312"/>
                <w:spacing w:val="-6"/>
                <w:sz w:val="28"/>
                <w:szCs w:val="28"/>
                <w:lang w:val="en-US" w:eastAsia="zh-CN"/>
              </w:rPr>
              <w:t xml:space="preserve"> </w:t>
            </w:r>
            <w:r>
              <w:rPr>
                <w:rFonts w:hint="default" w:eastAsia="仿宋_GB2312"/>
                <w:spacing w:val="-6"/>
                <w:sz w:val="28"/>
                <w:szCs w:val="28"/>
                <w:lang w:val="en" w:eastAsia="zh-CN"/>
              </w:rPr>
              <w:t xml:space="preserve"> </w:t>
            </w:r>
            <w:r>
              <w:rPr>
                <w:rFonts w:hint="eastAsia" w:eastAsia="仿宋_GB2312"/>
                <w:spacing w:val="-6"/>
                <w:sz w:val="28"/>
                <w:szCs w:val="28"/>
                <w:lang w:val="en-US" w:eastAsia="zh-CN"/>
              </w:rPr>
              <w:t xml:space="preserve"> </w:t>
            </w:r>
            <w:r>
              <w:rPr>
                <w:rFonts w:hint="eastAsia" w:eastAsia="仿宋_GB2312"/>
                <w:sz w:val="28"/>
                <w:szCs w:val="28"/>
              </w:rPr>
              <w:t xml:space="preserve"> </w:t>
            </w:r>
            <w:r>
              <w:rPr>
                <w:rFonts w:ascii="Times New Roman" w:hAnsi="Times New Roman" w:eastAsia="仿宋_GB2312"/>
                <w:spacing w:val="-6"/>
                <w:sz w:val="28"/>
                <w:szCs w:val="28"/>
                <w:lang w:val="en"/>
              </w:rPr>
              <w:t>2026</w:t>
            </w:r>
            <w:r>
              <w:rPr>
                <w:rFonts w:ascii="Times New Roman" w:hAnsi="Times New Roman" w:eastAsia="仿宋_GB2312"/>
                <w:spacing w:val="-6"/>
                <w:sz w:val="28"/>
                <w:szCs w:val="28"/>
              </w:rPr>
              <w:t>年</w:t>
            </w:r>
            <w:r>
              <w:rPr>
                <w:rFonts w:hint="eastAsia" w:ascii="Times New Roman" w:hAnsi="Times New Roman" w:eastAsia="仿宋_GB2312"/>
                <w:spacing w:val="-6"/>
                <w:sz w:val="28"/>
                <w:szCs w:val="28"/>
                <w:lang w:val="en-US" w:eastAsia="zh-CN"/>
              </w:rPr>
              <w:t>6</w:t>
            </w:r>
            <w:r>
              <w:rPr>
                <w:rFonts w:ascii="Times New Roman" w:hAnsi="Times New Roman" w:eastAsia="仿宋_GB2312"/>
                <w:spacing w:val="-6"/>
                <w:sz w:val="28"/>
                <w:szCs w:val="28"/>
              </w:rPr>
              <w:t>月</w:t>
            </w:r>
            <w:r>
              <w:rPr>
                <w:rFonts w:hint="eastAsia" w:ascii="Times New Roman" w:hAnsi="Times New Roman" w:eastAsia="仿宋_GB2312"/>
                <w:spacing w:val="-6"/>
                <w:sz w:val="28"/>
                <w:szCs w:val="28"/>
                <w:lang w:val="en-US" w:eastAsia="zh-CN"/>
              </w:rPr>
              <w:t>24</w:t>
            </w:r>
            <w:r>
              <w:rPr>
                <w:rFonts w:ascii="Times New Roman" w:hAnsi="Times New Roman" w:eastAsia="仿宋_GB2312"/>
                <w:spacing w:val="-6"/>
                <w:sz w:val="28"/>
                <w:szCs w:val="28"/>
              </w:rPr>
              <w:t>日印</w:t>
            </w:r>
            <w:r>
              <w:rPr>
                <w:rFonts w:hint="eastAsia" w:ascii="Times New Roman" w:hAnsi="Times New Roman" w:eastAsia="仿宋_GB2312"/>
                <w:spacing w:val="-6"/>
                <w:sz w:val="28"/>
                <w:szCs w:val="28"/>
                <w:lang w:eastAsia="zh-CN"/>
              </w:rPr>
              <w:t>发</w:t>
            </w:r>
          </w:p>
        </w:tc>
      </w:tr>
    </w:tbl>
    <w:p w14:paraId="25387EE9">
      <w:pPr>
        <w:pStyle w:val="2"/>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pPr>
    </w:p>
    <w:sectPr>
      <w:footerReference r:id="rId5" w:type="first"/>
      <w:footerReference r:id="rId4" w:type="default"/>
      <w:pgSz w:w="11906" w:h="16838"/>
      <w:pgMar w:top="2098" w:right="1531" w:bottom="1417" w:left="1531"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DF17">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FBDF53">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26FBDF53">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FA2A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1474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14:paraId="5101474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FA8E4">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1538BC">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291538BC">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OWI1ODk2NGEzN2MzMDBhODBhZmQ1MThjMGM3MGYifQ=="/>
  </w:docVars>
  <w:rsids>
    <w:rsidRoot w:val="00000000"/>
    <w:rsid w:val="04866D6D"/>
    <w:rsid w:val="066978DB"/>
    <w:rsid w:val="0B5F1FB9"/>
    <w:rsid w:val="1D9838A2"/>
    <w:rsid w:val="1F6759B5"/>
    <w:rsid w:val="258E0C37"/>
    <w:rsid w:val="27CE4FB1"/>
    <w:rsid w:val="309817B5"/>
    <w:rsid w:val="3AF5792F"/>
    <w:rsid w:val="3BDD18AC"/>
    <w:rsid w:val="3EAB0813"/>
    <w:rsid w:val="524127B9"/>
    <w:rsid w:val="5A4E185E"/>
    <w:rsid w:val="5DFF633A"/>
    <w:rsid w:val="5EE44E48"/>
    <w:rsid w:val="5F7A1337"/>
    <w:rsid w:val="6203135B"/>
    <w:rsid w:val="651F4987"/>
    <w:rsid w:val="69B239D8"/>
    <w:rsid w:val="6BD90660"/>
    <w:rsid w:val="6C9C2041"/>
    <w:rsid w:val="6FFEAFC8"/>
    <w:rsid w:val="73F75576"/>
    <w:rsid w:val="73FE245B"/>
    <w:rsid w:val="76377AD7"/>
    <w:rsid w:val="79ED7A44"/>
    <w:rsid w:val="7EF93E13"/>
    <w:rsid w:val="7FDE1D81"/>
    <w:rsid w:val="D67B571D"/>
    <w:rsid w:val="FD77826E"/>
    <w:rsid w:val="FDEF3566"/>
    <w:rsid w:val="FFFE5CB4"/>
    <w:rsid w:val="FFFF61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Normal Indent"/>
    <w:basedOn w:val="1"/>
    <w:next w:val="1"/>
    <w:qFormat/>
    <w:uiPriority w:val="99"/>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6">
    <w:name w:val="Plain Text"/>
    <w:basedOn w:val="1"/>
    <w:qFormat/>
    <w:uiPriority w:val="0"/>
    <w:pPr>
      <w:widowControl w:val="0"/>
      <w:suppressAutoHyphens/>
      <w:bidi w:val="0"/>
      <w:jc w:val="both"/>
    </w:pPr>
    <w:rPr>
      <w:rFonts w:ascii="宋体" w:hAnsi="Courier New" w:eastAsia="宋体" w:cs="Times New Roman"/>
      <w:color w:val="auto"/>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basedOn w:val="14"/>
    <w:next w:val="1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15">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16">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722</Words>
  <Characters>730</Characters>
  <Lines>0</Lines>
  <Paragraphs>0</Paragraphs>
  <TotalTime>15.3333333333333</TotalTime>
  <ScaleCrop>false</ScaleCrop>
  <LinksUpToDate>false</LinksUpToDate>
  <CharactersWithSpaces>750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墨迹夏子</cp:lastModifiedBy>
  <cp:lastPrinted>2026-06-24T15:29:18Z</cp:lastPrinted>
  <dcterms:modified xsi:type="dcterms:W3CDTF">2026-06-24T11:02:19Z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45BAD198B6804DD09DAA8B23651AE372_13</vt:lpwstr>
  </property>
  <property fmtid="{D5CDD505-2E9C-101B-9397-08002B2CF9AE}" pid="4" name="KSOTemplateDocerSaveRecord">
    <vt:lpwstr>eyJoZGlkIjoiYzY5ZDFkYjAwZjNhYTM1NDBlZTczZjFiNGMyNzYxN2IiLCJ1c2VySWQiOiIzNjAwMjk3NDgifQ==</vt:lpwstr>
  </property>
</Properties>
</file>