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bookmarkStart w:id="0" w:name="_GoBack"/>
      <w:bookmarkEnd w:id="0"/>
      <w:r>
        <w:rPr>
          <w:i w:val="0"/>
        </w:rPr>
        <w:t>财政部 国家自然科学基金委员会</w:t>
      </w:r>
      <w:r>
        <w:rPr>
          <w:i w:val="0"/>
        </w:rPr>
        <w:br w:type="textWrapping"/>
      </w:r>
      <w:r>
        <w:rPr>
          <w:i w:val="0"/>
        </w:rPr>
        <w:t>关于国家自然科学基金资助项目资金管理有关问题的补充通知</w:t>
      </w:r>
    </w:p>
    <w:p>
      <w:pPr>
        <w:jc w:val="center"/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i w:val="0"/>
          <w:sz w:val="18"/>
          <w:szCs w:val="18"/>
        </w:rPr>
        <w:t>财科教〔2016〕19号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有关单位：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为了贯彻落实《中共中央办公厅 国务院办公厅印发&lt;关于进一步完善中央财政科研项目资金管理等政策的若干意见&gt;的通知》精神，现就《国家自然科学基金资助项目资金管理办法》（财教﹝2015﹞15号）有关问题补充通知如下：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一、合并差旅费、会议费、国际合作与交流费三个科目为差旅/会议/国际合作与交流费一个科目，由科研人员结合科研活动实际需要编制预算并按规定统筹安排使用，</w:t>
      </w:r>
      <w:r>
        <w:rPr>
          <w:i w:val="0"/>
          <w:color w:val="0000FF"/>
          <w:sz w:val="18"/>
          <w:szCs w:val="18"/>
        </w:rPr>
        <w:t>其中不超过直接费用10%的，</w:t>
      </w:r>
      <w:r>
        <w:rPr>
          <w:i w:val="0"/>
          <w:sz w:val="18"/>
          <w:szCs w:val="18"/>
        </w:rPr>
        <w:t>不需要提供预算测算依据。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二、</w:t>
      </w:r>
      <w:r>
        <w:rPr>
          <w:i w:val="0"/>
          <w:color w:val="0000FF"/>
          <w:sz w:val="18"/>
          <w:szCs w:val="18"/>
        </w:rPr>
        <w:t>参与项目研究的研究生、博士后、访问学者以及项目聘用的研究人员、科研辅助人员等，均可开支劳务费。</w:t>
      </w:r>
      <w:r>
        <w:rPr>
          <w:i w:val="0"/>
          <w:sz w:val="18"/>
          <w:szCs w:val="18"/>
        </w:rPr>
        <w:t>项目聘用人员的劳务费开支标准，参照当地科学研究和技术服务业从业人员平均工资水平，根据其在项目研究中承担的工作任务确定，其社会保险补助纳入劳务费科目列支。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三、间接费用核定比例上限调整为：500万元以下的部分为20%，500万元至1000万元的部分为15%，1000万元以上的部分为13%。加大对科研人员的激励力度，</w:t>
      </w:r>
      <w:r>
        <w:rPr>
          <w:i w:val="0"/>
          <w:color w:val="auto"/>
          <w:sz w:val="18"/>
          <w:szCs w:val="18"/>
        </w:rPr>
        <w:t>取消绩效支出比例限制。</w:t>
      </w:r>
      <w:r>
        <w:rPr>
          <w:i w:val="0"/>
          <w:sz w:val="18"/>
          <w:szCs w:val="18"/>
        </w:rPr>
        <w:t>依托单位在统筹安排间接费用时，要处理好合理分摊间接成本和对科研人员激励的关系，绩效支出安排与科研人员在项目工作中的实际贡献挂钩。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color w:val="0000FF"/>
        </w:rPr>
      </w:pPr>
      <w:r>
        <w:rPr>
          <w:i w:val="0"/>
          <w:sz w:val="18"/>
          <w:szCs w:val="18"/>
        </w:rPr>
        <w:t>　　五、依托单位要切实强化法人责任，规范项目资金管理。</w:t>
      </w:r>
      <w:r>
        <w:rPr>
          <w:i w:val="0"/>
          <w:color w:val="auto"/>
          <w:sz w:val="18"/>
          <w:szCs w:val="18"/>
        </w:rPr>
        <w:t>要制定内部管理办法，</w:t>
      </w:r>
      <w:r>
        <w:rPr>
          <w:i w:val="0"/>
          <w:color w:val="0000FF"/>
          <w:sz w:val="18"/>
          <w:szCs w:val="18"/>
        </w:rPr>
        <w:t>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</w:pPr>
      <w:r>
        <w:rPr>
          <w:i w:val="0"/>
          <w:sz w:val="18"/>
          <w:szCs w:val="18"/>
        </w:rPr>
        <w:t> </w:t>
      </w:r>
      <w:r>
        <w:rPr>
          <w:rFonts w:hint="eastAsia"/>
          <w:i w:val="0"/>
          <w:sz w:val="18"/>
          <w:szCs w:val="18"/>
          <w:lang w:val="en-US" w:eastAsia="zh-CN"/>
        </w:rPr>
        <w:t xml:space="preserve">                                                           </w:t>
      </w:r>
      <w:r>
        <w:rPr>
          <w:i w:val="0"/>
          <w:color w:val="auto"/>
          <w:sz w:val="18"/>
          <w:szCs w:val="18"/>
        </w:rPr>
        <w:t>财政部</w:t>
      </w:r>
      <w:r>
        <w:rPr>
          <w:i w:val="0"/>
          <w:sz w:val="18"/>
          <w:szCs w:val="18"/>
        </w:rPr>
        <w:t>  国家自然科学基金委员会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right"/>
      </w:pPr>
      <w:r>
        <w:rPr>
          <w:i w:val="0"/>
          <w:sz w:val="18"/>
          <w:szCs w:val="18"/>
        </w:rPr>
        <w:t>2016年12月5日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6B88"/>
    <w:rsid w:val="04D77738"/>
    <w:rsid w:val="06DD6B88"/>
    <w:rsid w:val="6D3D2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2016-12-30T00:31:00Z</dcterms:created>
  <dc:creator>DELL</dc:creator>
  <cp:lastModifiedBy>DELL</cp:lastModifiedBy>
  <dcterms:modified xsi:type="dcterms:W3CDTF">2017-10-24T05:29:43Z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